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73F3" w14:textId="6DA5E53D" w:rsidR="00226E02" w:rsidRDefault="00EA0ACE" w:rsidP="00EA0ACE">
      <w:pPr>
        <w:pStyle w:val="Ttulo1"/>
        <w:rPr>
          <w:lang w:val="es-PE"/>
        </w:rPr>
      </w:pPr>
      <w:r>
        <w:rPr>
          <w:lang w:val="es-PE"/>
        </w:rPr>
        <w:t>Resultados econométricos</w:t>
      </w:r>
    </w:p>
    <w:p w14:paraId="761185F4" w14:textId="02647B23" w:rsidR="00EA0ACE" w:rsidRDefault="00EA0ACE" w:rsidP="00EA0ACE">
      <w:pPr>
        <w:rPr>
          <w:lang w:val="es-PE"/>
        </w:rPr>
      </w:pPr>
      <w:r>
        <w:rPr>
          <w:lang w:val="es-PE"/>
        </w:rPr>
        <w:t>Se está trabajando con los siguientes dos modelos</w:t>
      </w:r>
    </w:p>
    <w:p w14:paraId="6D38FD7E" w14:textId="222B9DF7" w:rsidR="00EA0ACE" w:rsidRPr="00EA0ACE" w:rsidRDefault="00EA0ACE" w:rsidP="00EA0ACE">
      <w:pPr>
        <w:rPr>
          <w:rFonts w:eastAsiaTheme="minorEastAsia"/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Modelo 1 : 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=VAI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</m:oMath>
      </m:oMathPara>
    </w:p>
    <w:p w14:paraId="308A6672" w14:textId="7E6D56A9" w:rsidR="00EA0ACE" w:rsidRPr="00EA0ACE" w:rsidRDefault="00EA0ACE" w:rsidP="00EA0ACE">
      <w:pPr>
        <w:rPr>
          <w:lang w:val="es-PE"/>
        </w:rPr>
      </w:pPr>
      <m:oMathPara>
        <m:oMath>
          <m:r>
            <w:rPr>
              <w:rFonts w:ascii="Cambria Math" w:hAnsi="Cambria Math"/>
              <w:lang w:val="es-PE"/>
            </w:rPr>
            <m:t>Modelo 2 :RO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A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=HC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+SC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+CC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+SIZ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E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+DEB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T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ϵ</m:t>
              </m:r>
            </m:e>
            <m:sub>
              <m:r>
                <w:rPr>
                  <w:rFonts w:ascii="Cambria Math" w:hAnsi="Cambria Math"/>
                  <w:lang w:val="es-PE"/>
                </w:rPr>
                <m:t>it</m:t>
              </m:r>
            </m:sub>
          </m:sSub>
          <m:r>
            <w:rPr>
              <w:rFonts w:ascii="Cambria Math" w:hAnsi="Cambria Math"/>
              <w:lang w:val="es-PE"/>
            </w:rPr>
            <m:t xml:space="preserve"> </m:t>
          </m:r>
        </m:oMath>
      </m:oMathPara>
    </w:p>
    <w:p w14:paraId="24D5E4E1" w14:textId="77777777" w:rsidR="00EA0ACE" w:rsidRDefault="00EA0ACE" w:rsidP="00EA0ACE">
      <w:pPr>
        <w:rPr>
          <w:lang w:val="es-PE"/>
        </w:rPr>
      </w:pPr>
    </w:p>
    <w:p w14:paraId="49F660B9" w14:textId="6AF78CA7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Entidades financieras</w:t>
      </w:r>
    </w:p>
    <w:p w14:paraId="4B0BA5FA" w14:textId="77777777" w:rsidR="00EA0ACE" w:rsidRDefault="00EA0ACE" w:rsidP="00EA0ACE">
      <w:pPr>
        <w:rPr>
          <w:lang w:val="es-PE"/>
        </w:rPr>
      </w:pPr>
    </w:p>
    <w:p w14:paraId="1303B06D" w14:textId="77777777" w:rsidR="00EA0ACE" w:rsidRDefault="00EA0ACE" w:rsidP="00EA0ACE">
      <w:pPr>
        <w:rPr>
          <w:lang w:val="es-PE"/>
        </w:rPr>
      </w:pPr>
    </w:p>
    <w:p w14:paraId="3A45C565" w14:textId="77777777" w:rsidR="00EA0ACE" w:rsidRDefault="00EA0ACE" w:rsidP="00EA0ACE">
      <w:pPr>
        <w:rPr>
          <w:lang w:val="es-PE"/>
        </w:rPr>
      </w:pPr>
    </w:p>
    <w:p w14:paraId="58E6D7D8" w14:textId="6A0C80D1" w:rsidR="00EA0ACE" w:rsidRDefault="00EA0ACE" w:rsidP="00EA0ACE">
      <w:pPr>
        <w:pStyle w:val="Ttulo2"/>
        <w:rPr>
          <w:lang w:val="es-PE"/>
        </w:rPr>
      </w:pPr>
      <w:r>
        <w:rPr>
          <w:lang w:val="es-PE"/>
        </w:rPr>
        <w:t>Bancos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199"/>
        <w:gridCol w:w="655"/>
        <w:gridCol w:w="1199"/>
        <w:gridCol w:w="655"/>
      </w:tblGrid>
      <w:tr w:rsidR="00EA0ACE" w14:paraId="12BC9B3F" w14:textId="77777777" w:rsidTr="00EA0ACE">
        <w:tc>
          <w:tcPr>
            <w:tcW w:w="1765" w:type="dxa"/>
            <w:vAlign w:val="bottom"/>
          </w:tcPr>
          <w:p w14:paraId="66EBE42F" w14:textId="76C04269" w:rsidR="00EA0ACE" w:rsidRPr="00EA0ACE" w:rsidRDefault="00EA0ACE" w:rsidP="00EA0ACE">
            <w:pPr>
              <w:rPr>
                <w:b/>
                <w:bCs/>
                <w:lang w:val="es-PE"/>
              </w:rPr>
            </w:pPr>
            <w:r w:rsidRPr="00EA0ACE">
              <w:rPr>
                <w:rFonts w:ascii="Calibri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199" w:type="dxa"/>
            <w:tcBorders>
              <w:right w:val="single" w:sz="4" w:space="0" w:color="auto"/>
            </w:tcBorders>
            <w:vAlign w:val="bottom"/>
          </w:tcPr>
          <w:p w14:paraId="029DBFA9" w14:textId="48C0BB4B" w:rsidR="00EA0ACE" w:rsidRPr="00EA0ACE" w:rsidRDefault="00EA0ACE" w:rsidP="00EA0ACE">
            <w:pPr>
              <w:rPr>
                <w:b/>
                <w:bCs/>
                <w:lang w:val="es-PE"/>
              </w:rPr>
            </w:pPr>
            <w:r w:rsidRPr="00EA0ACE">
              <w:rPr>
                <w:rFonts w:ascii="Calibri" w:hAnsi="Calibri" w:cs="Calibri"/>
                <w:b/>
                <w:bCs/>
                <w:color w:val="000000"/>
              </w:rPr>
              <w:t>Modelo 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E6F0A" w14:textId="022FA465" w:rsidR="00EA0ACE" w:rsidRPr="00EA0ACE" w:rsidRDefault="00EA0ACE" w:rsidP="00EA0ACE">
            <w:pPr>
              <w:rPr>
                <w:b/>
                <w:bCs/>
                <w:lang w:val="es-PE"/>
              </w:rPr>
            </w:pPr>
          </w:p>
        </w:tc>
        <w:tc>
          <w:tcPr>
            <w:tcW w:w="119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86B8C4" w14:textId="73549A68" w:rsidR="00EA0ACE" w:rsidRPr="00EA0ACE" w:rsidRDefault="00EA0ACE" w:rsidP="00EA0ACE">
            <w:pPr>
              <w:rPr>
                <w:b/>
                <w:bCs/>
                <w:lang w:val="es-PE"/>
              </w:rPr>
            </w:pPr>
            <w:r w:rsidRPr="00EA0ACE">
              <w:rPr>
                <w:rFonts w:ascii="Calibri" w:hAnsi="Calibri" w:cs="Calibri"/>
                <w:b/>
                <w:bCs/>
                <w:color w:val="000000"/>
              </w:rPr>
              <w:t>Modelo 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AF16D" w14:textId="0FB46A9D" w:rsidR="00EA0ACE" w:rsidRPr="00EA0ACE" w:rsidRDefault="00EA0ACE" w:rsidP="00EA0ACE">
            <w:pPr>
              <w:rPr>
                <w:b/>
                <w:bCs/>
                <w:lang w:val="es-PE"/>
              </w:rPr>
            </w:pPr>
            <w:r w:rsidRPr="00EA0ACE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EA0ACE" w14:paraId="02A401C4" w14:textId="77777777" w:rsidTr="00EA0ACE">
        <w:tc>
          <w:tcPr>
            <w:tcW w:w="1765" w:type="dxa"/>
            <w:vAlign w:val="bottom"/>
          </w:tcPr>
          <w:p w14:paraId="689C7FA6" w14:textId="176AD2FE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VAIC</w:t>
            </w:r>
          </w:p>
        </w:tc>
        <w:tc>
          <w:tcPr>
            <w:tcW w:w="1199" w:type="dxa"/>
            <w:tcBorders>
              <w:right w:val="single" w:sz="4" w:space="0" w:color="auto"/>
            </w:tcBorders>
            <w:vAlign w:val="bottom"/>
          </w:tcPr>
          <w:p w14:paraId="56D9F33F" w14:textId="782D1876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0.0071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59FF7" w14:textId="75105DED" w:rsidR="00EA0ACE" w:rsidRDefault="00EA0ACE" w:rsidP="00EA0ACE">
            <w:pPr>
              <w:rPr>
                <w:lang w:val="es-PE"/>
              </w:rPr>
            </w:pPr>
            <w:r w:rsidRPr="00EA0ACE">
              <w:rPr>
                <w:lang w:val="es-PE"/>
              </w:rPr>
              <w:t>***</w:t>
            </w:r>
          </w:p>
        </w:tc>
        <w:tc>
          <w:tcPr>
            <w:tcW w:w="11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685AC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2E125" w14:textId="77777777" w:rsidR="00EA0ACE" w:rsidRDefault="00EA0ACE" w:rsidP="00EA0ACE">
            <w:pPr>
              <w:rPr>
                <w:lang w:val="es-PE"/>
              </w:rPr>
            </w:pPr>
          </w:p>
        </w:tc>
      </w:tr>
      <w:tr w:rsidR="00EA0ACE" w14:paraId="44734C7E" w14:textId="77777777" w:rsidTr="00EA0ACE">
        <w:tc>
          <w:tcPr>
            <w:tcW w:w="1765" w:type="dxa"/>
            <w:vAlign w:val="bottom"/>
          </w:tcPr>
          <w:p w14:paraId="68E46DF4" w14:textId="0FF03F11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SIZE</w:t>
            </w:r>
          </w:p>
        </w:tc>
        <w:tc>
          <w:tcPr>
            <w:tcW w:w="1199" w:type="dxa"/>
            <w:tcBorders>
              <w:right w:val="single" w:sz="4" w:space="0" w:color="auto"/>
            </w:tcBorders>
            <w:vAlign w:val="bottom"/>
          </w:tcPr>
          <w:p w14:paraId="1E5B1ADD" w14:textId="0EB02D4B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24603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49DA2" w14:textId="17C65FFA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020B2" w14:textId="77777777" w:rsidR="00EA0ACE" w:rsidRDefault="00EA0ACE" w:rsidP="00EA0ACE">
            <w:pPr>
              <w:rPr>
                <w:lang w:val="es-PE"/>
              </w:rPr>
            </w:pPr>
          </w:p>
        </w:tc>
      </w:tr>
      <w:tr w:rsidR="00EA0ACE" w14:paraId="0A44AEF8" w14:textId="77777777" w:rsidTr="00EA0ACE">
        <w:tc>
          <w:tcPr>
            <w:tcW w:w="1765" w:type="dxa"/>
            <w:vAlign w:val="bottom"/>
          </w:tcPr>
          <w:p w14:paraId="164A531F" w14:textId="305CC978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DEBT</w:t>
            </w:r>
          </w:p>
        </w:tc>
        <w:tc>
          <w:tcPr>
            <w:tcW w:w="119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C637B78" w14:textId="72A9DDA7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46EB4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7CD81" w14:textId="79A9406F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-0.007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386BC" w14:textId="77777777" w:rsidR="00EA0ACE" w:rsidRDefault="00EA0ACE" w:rsidP="00EA0ACE">
            <w:pPr>
              <w:rPr>
                <w:lang w:val="es-PE"/>
              </w:rPr>
            </w:pPr>
          </w:p>
        </w:tc>
      </w:tr>
      <w:tr w:rsidR="00EA0ACE" w14:paraId="3AC58EC5" w14:textId="77777777" w:rsidTr="00EA0ACE">
        <w:tc>
          <w:tcPr>
            <w:tcW w:w="1765" w:type="dxa"/>
            <w:vAlign w:val="bottom"/>
          </w:tcPr>
          <w:p w14:paraId="07F91D50" w14:textId="6D19CA66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HCE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E648E5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7A4A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B67E3" w14:textId="11769070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44CF" w14:textId="0C8FC307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***</w:t>
            </w:r>
          </w:p>
        </w:tc>
      </w:tr>
      <w:tr w:rsidR="00EA0ACE" w14:paraId="6529BB7E" w14:textId="77777777" w:rsidTr="00EA0ACE">
        <w:tc>
          <w:tcPr>
            <w:tcW w:w="1765" w:type="dxa"/>
            <w:vAlign w:val="bottom"/>
          </w:tcPr>
          <w:p w14:paraId="4802DFAD" w14:textId="023988B6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SCE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CDF5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90F3D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A6BD3" w14:textId="743E6530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0.0026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78799" w14:textId="18BCCFB0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EA0ACE" w14:paraId="27BB7950" w14:textId="77777777" w:rsidTr="00EA0ACE">
        <w:tc>
          <w:tcPr>
            <w:tcW w:w="1765" w:type="dxa"/>
            <w:vAlign w:val="bottom"/>
          </w:tcPr>
          <w:p w14:paraId="0D0AB27C" w14:textId="1E78570D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CCE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DED20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ED9AB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11E1B" w14:textId="09B04579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0.0402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CD95D" w14:textId="4A65EBD4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*</w:t>
            </w:r>
          </w:p>
        </w:tc>
      </w:tr>
      <w:tr w:rsidR="00EA0ACE" w14:paraId="7A82C721" w14:textId="77777777" w:rsidTr="00EA0ACE">
        <w:tc>
          <w:tcPr>
            <w:tcW w:w="1765" w:type="dxa"/>
            <w:vAlign w:val="bottom"/>
          </w:tcPr>
          <w:p w14:paraId="5E29B233" w14:textId="4314F8AF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_cons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63AF4" w14:textId="16953528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-0.0182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304FC0" w14:textId="7525025D" w:rsidR="00EA0ACE" w:rsidRDefault="00EA0ACE" w:rsidP="00EA0ACE">
            <w:pPr>
              <w:rPr>
                <w:lang w:val="es-PE"/>
              </w:rPr>
            </w:pPr>
            <w:r w:rsidRPr="00EA0ACE">
              <w:rPr>
                <w:lang w:val="es-PE"/>
              </w:rPr>
              <w:t>**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03990" w14:textId="27D8AAE3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-0.0162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3339" w14:textId="77777777" w:rsidR="00EA0ACE" w:rsidRDefault="00EA0ACE" w:rsidP="00EA0ACE">
            <w:pPr>
              <w:rPr>
                <w:lang w:val="es-PE"/>
              </w:rPr>
            </w:pPr>
          </w:p>
        </w:tc>
      </w:tr>
      <w:tr w:rsidR="00EA0ACE" w14:paraId="4857DDB9" w14:textId="77777777" w:rsidTr="00EA0ACE">
        <w:tc>
          <w:tcPr>
            <w:tcW w:w="1765" w:type="dxa"/>
            <w:vAlign w:val="bottom"/>
          </w:tcPr>
          <w:p w14:paraId="061E2A63" w14:textId="3E209F1B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CD2EF" w14:textId="0484A415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4F2CA" w14:textId="77777777" w:rsidR="00EA0ACE" w:rsidRDefault="00EA0ACE" w:rsidP="00EA0ACE">
            <w:pPr>
              <w:rPr>
                <w:lang w:val="es-PE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312AA" w14:textId="6F9761DD" w:rsidR="00EA0ACE" w:rsidRDefault="00EA0ACE" w:rsidP="00EA0ACE">
            <w:pPr>
              <w:rPr>
                <w:lang w:val="es-P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FD129" w14:textId="77777777" w:rsidR="00EA0ACE" w:rsidRDefault="00EA0ACE" w:rsidP="00EA0ACE">
            <w:pPr>
              <w:rPr>
                <w:lang w:val="es-PE"/>
              </w:rPr>
            </w:pPr>
          </w:p>
        </w:tc>
      </w:tr>
    </w:tbl>
    <w:p w14:paraId="0BBF3824" w14:textId="77777777" w:rsidR="00EA0ACE" w:rsidRPr="00EA0ACE" w:rsidRDefault="00EA0ACE" w:rsidP="00EA0ACE">
      <w:pPr>
        <w:rPr>
          <w:lang w:val="es-PE"/>
        </w:rPr>
      </w:pPr>
    </w:p>
    <w:p w14:paraId="4BC442FD" w14:textId="1FEFCAB2" w:rsidR="00EA0ACE" w:rsidRDefault="00EA0ACE" w:rsidP="00440361">
      <w:pPr>
        <w:jc w:val="both"/>
        <w:rPr>
          <w:lang w:val="es-PE"/>
        </w:rPr>
      </w:pPr>
      <w:r>
        <w:rPr>
          <w:lang w:val="es-PE"/>
        </w:rPr>
        <w:t>Se observa que el modelo 1, se observa que el VAIC, el cual es el valor agregado del capital intelectual resulta estadísticamente significativo en su impacto al ROA</w:t>
      </w:r>
      <w:r w:rsidR="00B92A7B">
        <w:rPr>
          <w:lang w:val="es-PE"/>
        </w:rPr>
        <w:t xml:space="preserve">, aunque este es muy bajo </w:t>
      </w:r>
      <m:oMath>
        <m:r>
          <w:rPr>
            <w:rFonts w:ascii="Cambria Math" w:hAnsi="Cambria Math"/>
            <w:lang w:val="es-PE"/>
          </w:rPr>
          <m:t>(0.0071***)</m:t>
        </m:r>
      </m:oMath>
      <w:r w:rsidR="00440361">
        <w:rPr>
          <w:rFonts w:eastAsiaTheme="minorEastAsia"/>
          <w:lang w:val="es-PE"/>
        </w:rPr>
        <w:t>. Por cada unidad adicional en el VAIC, el ROA de un banco es 0.7% mayor</w:t>
      </w:r>
    </w:p>
    <w:p w14:paraId="24D72681" w14:textId="77777777" w:rsidR="00EA0ACE" w:rsidRPr="00EA0ACE" w:rsidRDefault="00EA0ACE" w:rsidP="00EA0ACE">
      <w:pPr>
        <w:rPr>
          <w:lang w:val="es-PE"/>
        </w:rPr>
      </w:pPr>
    </w:p>
    <w:sectPr w:rsidR="00EA0ACE" w:rsidRPr="00EA0A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C3"/>
    <w:rsid w:val="001C70C3"/>
    <w:rsid w:val="00226E02"/>
    <w:rsid w:val="00312F0B"/>
    <w:rsid w:val="00440361"/>
    <w:rsid w:val="00727971"/>
    <w:rsid w:val="00B92A7B"/>
    <w:rsid w:val="00E8555B"/>
    <w:rsid w:val="00EA0ACE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85A1"/>
  <w15:chartTrackingRefBased/>
  <w15:docId w15:val="{F1126236-D2BE-4A4C-9039-5D57644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A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A0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Cabrera Bonilla</dc:creator>
  <cp:keywords/>
  <dc:description/>
  <cp:lastModifiedBy>Esteban Cabrera Bonilla</cp:lastModifiedBy>
  <cp:revision>3</cp:revision>
  <dcterms:created xsi:type="dcterms:W3CDTF">2025-01-05T19:06:00Z</dcterms:created>
  <dcterms:modified xsi:type="dcterms:W3CDTF">2025-01-05T19:18:00Z</dcterms:modified>
</cp:coreProperties>
</file>