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073F3" w14:textId="6DA5E53D" w:rsidR="00226E02" w:rsidRDefault="00EA0ACE" w:rsidP="00EA0ACE">
      <w:pPr>
        <w:pStyle w:val="Ttulo1"/>
        <w:rPr>
          <w:lang w:val="es-PE"/>
        </w:rPr>
      </w:pPr>
      <w:r>
        <w:rPr>
          <w:lang w:val="es-PE"/>
        </w:rPr>
        <w:t>Resultados econométricos</w:t>
      </w:r>
    </w:p>
    <w:p w14:paraId="761185F4" w14:textId="02647B23" w:rsidR="00EA0ACE" w:rsidRDefault="00EA0ACE" w:rsidP="00EA0ACE">
      <w:pPr>
        <w:rPr>
          <w:lang w:val="es-PE"/>
        </w:rPr>
      </w:pPr>
      <w:r>
        <w:rPr>
          <w:lang w:val="es-PE"/>
        </w:rPr>
        <w:t>Se está trabajando con los siguientes dos modelos</w:t>
      </w:r>
    </w:p>
    <w:p w14:paraId="6D38FD7E" w14:textId="119078FA" w:rsidR="00EA0ACE" w:rsidRPr="00EA0ACE" w:rsidRDefault="00EA0ACE" w:rsidP="00EA0ACE">
      <w:pPr>
        <w:rPr>
          <w:rFonts w:eastAsiaTheme="minorEastAsia"/>
          <w:lang w:val="es-PE"/>
        </w:rPr>
      </w:pPr>
      <m:oMathPara>
        <m:oMath>
          <m:r>
            <w:rPr>
              <w:rFonts w:ascii="Cambria Math" w:hAnsi="Cambria Math"/>
              <w:lang w:val="es-PE"/>
            </w:rPr>
            <m:t>Modelo 1 : RO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A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0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1</m:t>
              </m:r>
            </m:sub>
          </m:sSub>
          <m:r>
            <w:rPr>
              <w:rFonts w:ascii="Cambria Math" w:hAnsi="Cambria Math"/>
              <w:lang w:val="es-PE"/>
            </w:rPr>
            <m:t>VAI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C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2</m:t>
              </m:r>
            </m:sub>
          </m:sSub>
          <m:r>
            <w:rPr>
              <w:rFonts w:ascii="Cambria Math" w:hAnsi="Cambria Math"/>
              <w:lang w:val="es-PE"/>
            </w:rPr>
            <m:t>SIZ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3</m:t>
              </m:r>
            </m:sub>
          </m:sSub>
          <m:r>
            <w:rPr>
              <w:rFonts w:ascii="Cambria Math" w:hAnsi="Cambria Math"/>
              <w:lang w:val="es-PE"/>
            </w:rPr>
            <m:t>DEB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T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ϵ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</m:oMath>
      </m:oMathPara>
    </w:p>
    <w:p w14:paraId="24D5E4E1" w14:textId="1D67A9A4" w:rsidR="00EA0ACE" w:rsidRDefault="00EA0ACE" w:rsidP="00EA0ACE">
      <w:pPr>
        <w:rPr>
          <w:lang w:val="es-PE"/>
        </w:rPr>
      </w:pPr>
      <m:oMathPara>
        <m:oMath>
          <m:r>
            <w:rPr>
              <w:rFonts w:ascii="Cambria Math" w:hAnsi="Cambria Math"/>
              <w:lang w:val="es-PE"/>
            </w:rPr>
            <m:t>Modelo 2 :RO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A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0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1</m:t>
              </m:r>
            </m:sub>
          </m:sSub>
          <m:r>
            <w:rPr>
              <w:rFonts w:ascii="Cambria Math" w:hAnsi="Cambria Math"/>
              <w:lang w:val="es-PE"/>
            </w:rPr>
            <m:t>HC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2</m:t>
              </m:r>
            </m:sub>
          </m:sSub>
          <m:r>
            <w:rPr>
              <w:rFonts w:ascii="Cambria Math" w:hAnsi="Cambria Math"/>
              <w:lang w:val="es-PE"/>
            </w:rPr>
            <m:t>SC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3</m:t>
              </m:r>
            </m:sub>
          </m:sSub>
          <m:r>
            <w:rPr>
              <w:rFonts w:ascii="Cambria Math" w:hAnsi="Cambria Math"/>
              <w:lang w:val="es-PE"/>
            </w:rPr>
            <m:t>CC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4</m:t>
              </m:r>
            </m:sub>
          </m:sSub>
          <m:r>
            <w:rPr>
              <w:rFonts w:ascii="Cambria Math" w:hAnsi="Cambria Math"/>
              <w:lang w:val="es-PE"/>
            </w:rPr>
            <m:t>SIZ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β</m:t>
              </m:r>
            </m:e>
            <m:sub>
              <m:r>
                <w:rPr>
                  <w:rFonts w:ascii="Cambria Math" w:hAnsi="Cambria Math"/>
                  <w:lang w:val="es-PE"/>
                </w:rPr>
                <m:t>5</m:t>
              </m:r>
            </m:sub>
          </m:sSub>
          <m:r>
            <w:rPr>
              <w:rFonts w:ascii="Cambria Math" w:hAnsi="Cambria Math"/>
              <w:lang w:val="es-PE"/>
            </w:rPr>
            <m:t>DEB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T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ϵ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 xml:space="preserve"> </m:t>
          </m:r>
        </m:oMath>
      </m:oMathPara>
    </w:p>
    <w:p w14:paraId="49F660B9" w14:textId="6AF78CA7" w:rsidR="00EA0ACE" w:rsidRDefault="00EA0ACE" w:rsidP="00EA0ACE">
      <w:pPr>
        <w:pStyle w:val="Ttulo2"/>
        <w:rPr>
          <w:lang w:val="es-PE"/>
        </w:rPr>
      </w:pPr>
      <w:r>
        <w:rPr>
          <w:lang w:val="es-PE"/>
        </w:rPr>
        <w:t>Entidades financieras</w:t>
      </w:r>
    </w:p>
    <w:tbl>
      <w:tblPr>
        <w:tblW w:w="4600" w:type="dxa"/>
        <w:tblLook w:val="04A0" w:firstRow="1" w:lastRow="0" w:firstColumn="1" w:lastColumn="0" w:noHBand="0" w:noVBand="1"/>
      </w:tblPr>
      <w:tblGrid>
        <w:gridCol w:w="1240"/>
        <w:gridCol w:w="1240"/>
        <w:gridCol w:w="545"/>
        <w:gridCol w:w="1240"/>
        <w:gridCol w:w="545"/>
      </w:tblGrid>
      <w:tr w:rsidR="009B12AA" w:rsidRPr="009B12AA" w14:paraId="558ACAC0" w14:textId="77777777" w:rsidTr="009B12AA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5B6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BC9BE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</w:t>
            </w:r>
            <w:proofErr w:type="spellEnd"/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63A1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5D6A7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</w:t>
            </w:r>
            <w:proofErr w:type="spellEnd"/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A339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20378706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0A21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E80C8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0.0082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6EF8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0F2BD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23E9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440742EC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C1CE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EC064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C43F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091E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562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6F6733A4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3924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DEBT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FF904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C741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8AFF3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E4FB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47F3BA61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1F3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AD4D9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633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E5140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0.0031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E728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</w:t>
            </w:r>
          </w:p>
        </w:tc>
      </w:tr>
      <w:tr w:rsidR="009B12AA" w:rsidRPr="009B12AA" w14:paraId="474B8A31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F4B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57296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AC3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FF3D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A51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1E527122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4DCC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25657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092B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78DFE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0.0812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F4D0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</w:tr>
      <w:tr w:rsidR="009B12AA" w:rsidRPr="009B12AA" w14:paraId="502C8F4E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E736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_cons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4F5DC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BA56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13EAC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-0.0282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26A0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***</w:t>
            </w:r>
          </w:p>
        </w:tc>
      </w:tr>
      <w:tr w:rsidR="009B12AA" w:rsidRPr="009B12AA" w14:paraId="05EBA2FC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929A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F140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5AF0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D6F78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36F8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0B6FAD75" w14:textId="0B96F33B" w:rsidR="00357290" w:rsidRDefault="00357290" w:rsidP="00EA0ACE">
      <w:pPr>
        <w:rPr>
          <w:lang w:val="es-PE"/>
        </w:rPr>
      </w:pPr>
      <w:r>
        <w:rPr>
          <w:lang w:val="es-PE"/>
        </w:rPr>
        <w:t>En el modelo 1, se ve que el VAIC tiene un efecto positivo y significativo para todas las empresas financieras (bancos, financieras y cajas). El coeficiente es 0.0082 (***), indicando que una unidad más en el VAIC significa un 0.82% más de ROA para las empresas del sector financiero en general.</w:t>
      </w:r>
    </w:p>
    <w:p w14:paraId="4B9ED7A6" w14:textId="0F8E79BA" w:rsidR="00357290" w:rsidRDefault="00357290" w:rsidP="00EA0ACE">
      <w:pPr>
        <w:rPr>
          <w:lang w:val="es-PE"/>
        </w:rPr>
      </w:pPr>
      <w:r>
        <w:rPr>
          <w:lang w:val="es-PE"/>
        </w:rPr>
        <w:t>Por otro lado, en el modelo se observa que tanto el capital humano como el capital físico son significativos. El primer tiene un coeficiente de 0.0031 (**), por lo cual un aumento en una unidad de esta variable significa un aumento del 0.31% del ROA de la empresa. El segundo tiene un coeficiente de 0.0812. Así, un aumento en una unidad en esta variable significa que el ROA sube un 8.12% para la empresa.</w:t>
      </w:r>
    </w:p>
    <w:p w14:paraId="58E6D7D8" w14:textId="6A0C80D1" w:rsidR="00EA0ACE" w:rsidRDefault="00EA0ACE" w:rsidP="00EA0ACE">
      <w:pPr>
        <w:pStyle w:val="Ttulo2"/>
        <w:rPr>
          <w:lang w:val="es-PE"/>
        </w:rPr>
      </w:pPr>
      <w:r>
        <w:rPr>
          <w:lang w:val="es-PE"/>
        </w:rPr>
        <w:t>Bancos</w:t>
      </w:r>
    </w:p>
    <w:tbl>
      <w:tblPr>
        <w:tblW w:w="4810" w:type="dxa"/>
        <w:tblLook w:val="04A0" w:firstRow="1" w:lastRow="0" w:firstColumn="1" w:lastColumn="0" w:noHBand="0" w:noVBand="1"/>
      </w:tblPr>
      <w:tblGrid>
        <w:gridCol w:w="1240"/>
        <w:gridCol w:w="1240"/>
        <w:gridCol w:w="545"/>
        <w:gridCol w:w="1240"/>
        <w:gridCol w:w="545"/>
      </w:tblGrid>
      <w:tr w:rsidR="0000485C" w:rsidRPr="0000485C" w14:paraId="255AC24F" w14:textId="77777777" w:rsidTr="0000485C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6985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7D973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</w:t>
            </w:r>
            <w:proofErr w:type="spellEnd"/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EB3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58009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</w:t>
            </w:r>
            <w:proofErr w:type="spellEnd"/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B80E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156017A1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26A5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04888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0.0071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52E9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895C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D02D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42E412CC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47B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620B9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47B9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68157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A71E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279CD4C0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0156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DEBT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A294B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0.0075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EF0C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802B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BF2D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319F4070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9474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E03A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EB84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E1C97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0.008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AD9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</w:tr>
      <w:tr w:rsidR="0000485C" w:rsidRPr="0000485C" w14:paraId="3C07ECEF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E693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55FBC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69F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C0B30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0.0026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FDD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</w:t>
            </w:r>
          </w:p>
        </w:tc>
      </w:tr>
      <w:tr w:rsidR="0000485C" w:rsidRPr="0000485C" w14:paraId="5410E3FD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5FC6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BE554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9C6A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23A45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0.0402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1F8A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</w:t>
            </w:r>
          </w:p>
        </w:tc>
      </w:tr>
      <w:tr w:rsidR="0000485C" w:rsidRPr="0000485C" w14:paraId="78AE2FF2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3D00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_cons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BE58A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-0.0182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D658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8C770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-0.0162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C284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7B4E6FFC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49A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F82ED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84FB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06493" w14:textId="72B8DF15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61F8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72E954D8" w14:textId="77777777" w:rsidR="0000485C" w:rsidRDefault="0000485C" w:rsidP="00440361">
      <w:pPr>
        <w:jc w:val="both"/>
        <w:rPr>
          <w:lang w:val="es-PE"/>
        </w:rPr>
      </w:pPr>
    </w:p>
    <w:p w14:paraId="4BC442FD" w14:textId="39530ADC" w:rsidR="00EA0ACE" w:rsidRDefault="00EA0ACE" w:rsidP="00440361">
      <w:pPr>
        <w:jc w:val="both"/>
        <w:rPr>
          <w:rFonts w:eastAsiaTheme="minorEastAsia"/>
          <w:lang w:val="es-PE"/>
        </w:rPr>
      </w:pPr>
      <w:r>
        <w:rPr>
          <w:lang w:val="es-PE"/>
        </w:rPr>
        <w:t>Se observa que el modelo 1, se observa que el VAIC, el cual es el valor agregado del capital intelectual resulta estadísticamente significativo en su impacto al ROA</w:t>
      </w:r>
      <w:r w:rsidR="00B92A7B">
        <w:rPr>
          <w:lang w:val="es-PE"/>
        </w:rPr>
        <w:t xml:space="preserve">, aunque este es muy bajo </w:t>
      </w:r>
      <m:oMath>
        <m:r>
          <w:rPr>
            <w:rFonts w:ascii="Cambria Math" w:hAnsi="Cambria Math"/>
            <w:lang w:val="es-PE"/>
          </w:rPr>
          <m:t>(0.0071***)</m:t>
        </m:r>
      </m:oMath>
      <w:r w:rsidR="00440361">
        <w:rPr>
          <w:rFonts w:eastAsiaTheme="minorEastAsia"/>
          <w:lang w:val="es-PE"/>
        </w:rPr>
        <w:t>. Por cada unidad adicional en el VAIC, el ROA de un banco es 0.7% mayor</w:t>
      </w:r>
      <w:r w:rsidR="0000485C">
        <w:rPr>
          <w:rFonts w:eastAsiaTheme="minorEastAsia"/>
          <w:lang w:val="es-PE"/>
        </w:rPr>
        <w:t>.</w:t>
      </w:r>
    </w:p>
    <w:p w14:paraId="07C22433" w14:textId="589D73F4" w:rsidR="0000485C" w:rsidRDefault="0000485C" w:rsidP="00440361">
      <w:pPr>
        <w:jc w:val="both"/>
        <w:rPr>
          <w:rFonts w:eastAsiaTheme="minorEastAsia"/>
          <w:lang w:val="es-PE"/>
        </w:rPr>
      </w:pPr>
      <w:r>
        <w:rPr>
          <w:rFonts w:eastAsiaTheme="minorEastAsia"/>
          <w:lang w:val="es-PE"/>
        </w:rPr>
        <w:t xml:space="preserve">En el modelo 2, se observa que el capital humano o HCE tiene un coeficiente altamente significativo de 0.008 (***), el capital físico o CCE de 0.04 (*) y el capital estructural o SCE de 0.0026 (*). Ello </w:t>
      </w:r>
      <w:r>
        <w:rPr>
          <w:rFonts w:eastAsiaTheme="minorEastAsia"/>
          <w:lang w:val="es-PE"/>
        </w:rPr>
        <w:lastRenderedPageBreak/>
        <w:t>significa que un incremento en unidad adicional de cada uno de estas variables generaría un aumento del ROA de la empresa bancaria de 0.8%, 0.26% y 4%, respectivamente</w:t>
      </w:r>
    </w:p>
    <w:p w14:paraId="3D48198C" w14:textId="7E7379E3" w:rsidR="0000485C" w:rsidRDefault="0000485C" w:rsidP="0000485C">
      <w:pPr>
        <w:pStyle w:val="Ttulo2"/>
        <w:rPr>
          <w:lang w:val="es-PE"/>
        </w:rPr>
      </w:pPr>
      <w:r>
        <w:rPr>
          <w:lang w:val="es-PE"/>
        </w:rPr>
        <w:t>Financieras</w:t>
      </w:r>
    </w:p>
    <w:tbl>
      <w:tblPr>
        <w:tblW w:w="4600" w:type="dxa"/>
        <w:tblLook w:val="04A0" w:firstRow="1" w:lastRow="0" w:firstColumn="1" w:lastColumn="0" w:noHBand="0" w:noVBand="1"/>
      </w:tblPr>
      <w:tblGrid>
        <w:gridCol w:w="1240"/>
        <w:gridCol w:w="1240"/>
        <w:gridCol w:w="545"/>
        <w:gridCol w:w="1240"/>
        <w:gridCol w:w="545"/>
      </w:tblGrid>
      <w:tr w:rsidR="0000485C" w:rsidRPr="0000485C" w14:paraId="24926416" w14:textId="77777777" w:rsidTr="0000485C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1729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E7562" w14:textId="376FB4BA" w:rsidR="0000485C" w:rsidRPr="0000485C" w:rsidRDefault="00357290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033F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B6F23" w14:textId="52A58682" w:rsidR="0000485C" w:rsidRPr="0000485C" w:rsidRDefault="00357290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773E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1D063210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5C50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02502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0.0099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7D3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794DF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0134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68404721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4132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0C32D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6F0A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C965F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0.0141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75C8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5E8D863C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B62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DEBT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99EA1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0.0091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63A0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5C27F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6603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546865AB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A374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29C6A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7157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E07C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D2A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043BF930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42A3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6482C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9B78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427B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-0.0055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3423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0485C" w:rsidRPr="0000485C" w14:paraId="0E024B2A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4B15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41149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0141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4C506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0.1088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49AD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</w:tr>
      <w:tr w:rsidR="0000485C" w:rsidRPr="0000485C" w14:paraId="0AB3751E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5185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_cons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604D3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049E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205E1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-0.0352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528B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***</w:t>
            </w:r>
          </w:p>
        </w:tc>
      </w:tr>
      <w:tr w:rsidR="0000485C" w:rsidRPr="0000485C" w14:paraId="69516200" w14:textId="77777777" w:rsidTr="0000485C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B27A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BBD1A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4C8F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FFA0B" w14:textId="77777777" w:rsidR="0000485C" w:rsidRPr="0000485C" w:rsidRDefault="0000485C" w:rsidP="000048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47A6" w14:textId="77777777" w:rsidR="0000485C" w:rsidRPr="0000485C" w:rsidRDefault="0000485C" w:rsidP="00004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48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47214767" w14:textId="77777777" w:rsidR="0000485C" w:rsidRPr="0000485C" w:rsidRDefault="0000485C" w:rsidP="0000485C">
      <w:pPr>
        <w:rPr>
          <w:lang w:val="es-PE"/>
        </w:rPr>
      </w:pPr>
    </w:p>
    <w:p w14:paraId="700DD795" w14:textId="75309BDB" w:rsidR="0000485C" w:rsidRDefault="00090096" w:rsidP="0000485C">
      <w:pPr>
        <w:jc w:val="both"/>
        <w:rPr>
          <w:rFonts w:eastAsiaTheme="minorEastAsia"/>
          <w:lang w:val="es-PE"/>
        </w:rPr>
      </w:pPr>
      <w:r>
        <w:rPr>
          <w:lang w:val="es-PE"/>
        </w:rPr>
        <w:t>Aquí igualmente s</w:t>
      </w:r>
      <w:r w:rsidR="0000485C">
        <w:rPr>
          <w:lang w:val="es-PE"/>
        </w:rPr>
        <w:t>e observa que el modelo 1</w:t>
      </w:r>
      <w:r>
        <w:rPr>
          <w:lang w:val="es-PE"/>
        </w:rPr>
        <w:t xml:space="preserve"> que</w:t>
      </w:r>
      <w:r w:rsidR="0000485C">
        <w:rPr>
          <w:lang w:val="es-PE"/>
        </w:rPr>
        <w:t xml:space="preserve"> el VAIC resulta estadísticamente significativo en su impacto al ROA, aunque este es muy bajo </w:t>
      </w:r>
      <m:oMath>
        <m:r>
          <w:rPr>
            <w:rFonts w:ascii="Cambria Math" w:hAnsi="Cambria Math"/>
            <w:lang w:val="es-PE"/>
          </w:rPr>
          <m:t>(0.00</m:t>
        </m:r>
        <m:r>
          <w:rPr>
            <w:rFonts w:ascii="Cambria Math" w:hAnsi="Cambria Math"/>
            <w:lang w:val="es-PE"/>
          </w:rPr>
          <m:t>99</m:t>
        </m:r>
        <m:r>
          <w:rPr>
            <w:rFonts w:ascii="Cambria Math" w:hAnsi="Cambria Math"/>
            <w:lang w:val="es-PE"/>
          </w:rPr>
          <m:t>***)</m:t>
        </m:r>
      </m:oMath>
      <w:r w:rsidR="0000485C">
        <w:rPr>
          <w:rFonts w:eastAsiaTheme="minorEastAsia"/>
          <w:lang w:val="es-PE"/>
        </w:rPr>
        <w:t>. Por cada unidad adicional en el VAIC, el ROA de un banco es 0.</w:t>
      </w:r>
      <w:r w:rsidR="0000485C">
        <w:rPr>
          <w:rFonts w:eastAsiaTheme="minorEastAsia"/>
          <w:lang w:val="es-PE"/>
        </w:rPr>
        <w:t>9</w:t>
      </w:r>
      <w:r w:rsidR="0000485C">
        <w:rPr>
          <w:rFonts w:eastAsiaTheme="minorEastAsia"/>
          <w:lang w:val="es-PE"/>
        </w:rPr>
        <w:t>% mayor.</w:t>
      </w:r>
    </w:p>
    <w:p w14:paraId="1D22EA40" w14:textId="5DDAA690" w:rsidR="0000485C" w:rsidRDefault="0000485C" w:rsidP="0000485C">
      <w:pPr>
        <w:jc w:val="both"/>
        <w:rPr>
          <w:rFonts w:eastAsiaTheme="minorEastAsia"/>
          <w:lang w:val="es-PE"/>
        </w:rPr>
      </w:pPr>
      <w:r>
        <w:rPr>
          <w:rFonts w:eastAsiaTheme="minorEastAsia"/>
          <w:lang w:val="es-PE"/>
        </w:rPr>
        <w:t>Por otro lado, en el modelo 2, observamos únicamente que el capital físico es estadísticamente significativo, con un coeficiente de 0.1088 (***). Ello significa que un aumento de una unidad en el capital físico para empresas financieras genera un incremento del TOA del 10.88%</w:t>
      </w:r>
    </w:p>
    <w:p w14:paraId="4DCBD040" w14:textId="577EAD4C" w:rsidR="0000485C" w:rsidRDefault="0000485C" w:rsidP="0000485C">
      <w:pPr>
        <w:pStyle w:val="Ttulo2"/>
        <w:rPr>
          <w:rFonts w:eastAsiaTheme="minorEastAsia"/>
          <w:lang w:val="es-PE"/>
        </w:rPr>
      </w:pPr>
      <w:r>
        <w:rPr>
          <w:rFonts w:eastAsiaTheme="minorEastAsia"/>
          <w:lang w:val="es-PE"/>
        </w:rPr>
        <w:t>Cajas</w:t>
      </w:r>
    </w:p>
    <w:tbl>
      <w:tblPr>
        <w:tblW w:w="4600" w:type="dxa"/>
        <w:tblLook w:val="04A0" w:firstRow="1" w:lastRow="0" w:firstColumn="1" w:lastColumn="0" w:noHBand="0" w:noVBand="1"/>
      </w:tblPr>
      <w:tblGrid>
        <w:gridCol w:w="1240"/>
        <w:gridCol w:w="1240"/>
        <w:gridCol w:w="545"/>
        <w:gridCol w:w="1240"/>
        <w:gridCol w:w="545"/>
      </w:tblGrid>
      <w:tr w:rsidR="009B12AA" w:rsidRPr="009B12AA" w14:paraId="34AA9FDE" w14:textId="77777777" w:rsidTr="009B12AA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A809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B3483" w14:textId="56D39C8E" w:rsidR="009B12AA" w:rsidRPr="009B12AA" w:rsidRDefault="00357290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7E39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93BA2" w14:textId="66A8ECD5" w:rsidR="009B12AA" w:rsidRPr="009B12AA" w:rsidRDefault="00357290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710C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34B0303F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DE9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VAIC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E2F20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0.0134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BF47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1132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E16F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73A76AF7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C151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037DE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-0.0067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E14B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EC314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-0.0076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9F05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</w:tr>
      <w:tr w:rsidR="009B12AA" w:rsidRPr="009B12AA" w14:paraId="64F09F9C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7226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DEBT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B15B6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D556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1257F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-0.0006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707E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55F548AD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1E07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4E42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D448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C7F2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-0.0141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19CB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19F15BFC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FD1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68EC8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5011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C8BF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833C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34FA6FC3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8C17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53B60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B6BA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5EA4A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0.0317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083A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***</w:t>
            </w:r>
          </w:p>
        </w:tc>
      </w:tr>
      <w:tr w:rsidR="009B12AA" w:rsidRPr="009B12AA" w14:paraId="034B0A84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6BC0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_cons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86B69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59A3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4886C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78A4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B12AA" w:rsidRPr="009B12AA" w14:paraId="2D2BB873" w14:textId="77777777" w:rsidTr="009B12A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22BF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4ED74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537B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D7571" w14:textId="77777777" w:rsidR="009B12AA" w:rsidRPr="009B12AA" w:rsidRDefault="009B12AA" w:rsidP="009B12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4F22" w14:textId="77777777" w:rsidR="009B12AA" w:rsidRPr="009B12AA" w:rsidRDefault="009B12AA" w:rsidP="009B1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B12A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4D72681" w14:textId="77777777" w:rsidR="00EA0ACE" w:rsidRDefault="00EA0ACE" w:rsidP="00EA0ACE">
      <w:pPr>
        <w:rPr>
          <w:lang w:val="es-PE"/>
        </w:rPr>
      </w:pPr>
    </w:p>
    <w:p w14:paraId="78CA4BA7" w14:textId="4F90D1A4" w:rsidR="00090096" w:rsidRDefault="00090096" w:rsidP="00090096">
      <w:pPr>
        <w:jc w:val="both"/>
        <w:rPr>
          <w:rFonts w:eastAsiaTheme="minorEastAsia"/>
          <w:lang w:val="es-PE"/>
        </w:rPr>
      </w:pPr>
      <w:r>
        <w:rPr>
          <w:lang w:val="es-PE"/>
        </w:rPr>
        <w:t>E</w:t>
      </w:r>
      <w:r>
        <w:rPr>
          <w:lang w:val="es-PE"/>
        </w:rPr>
        <w:t xml:space="preserve">l valor agregado del capital intelectual resulta estadísticamente significativo en su impacto al ROA, </w:t>
      </w:r>
      <w:r>
        <w:rPr>
          <w:lang w:val="es-PE"/>
        </w:rPr>
        <w:t>y</w:t>
      </w:r>
      <w:r>
        <w:rPr>
          <w:lang w:val="es-PE"/>
        </w:rPr>
        <w:t xml:space="preserve"> este</w:t>
      </w:r>
      <w:r>
        <w:rPr>
          <w:lang w:val="es-PE"/>
        </w:rPr>
        <w:t xml:space="preserve"> valor es algo mayor a los anteriores, aunque igual bajo</w:t>
      </w:r>
      <w:r>
        <w:rPr>
          <w:lang w:val="es-PE"/>
        </w:rPr>
        <w:t xml:space="preserve"> </w:t>
      </w:r>
      <m:oMath>
        <m:r>
          <w:rPr>
            <w:rFonts w:ascii="Cambria Math" w:hAnsi="Cambria Math"/>
            <w:lang w:val="es-PE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val="es-PE"/>
            <w14:ligatures w14:val="none"/>
          </w:rPr>
          <m:t>0.01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val="es-PE"/>
            <w14:ligatures w14:val="none"/>
          </w:rPr>
          <m:t>34</m:t>
        </m:r>
        <m:r>
          <w:rPr>
            <w:rFonts w:ascii="Cambria Math" w:hAnsi="Cambria Math"/>
            <w:lang w:val="es-PE"/>
          </w:rPr>
          <m:t>***)</m:t>
        </m:r>
      </m:oMath>
      <w:r>
        <w:rPr>
          <w:rFonts w:eastAsiaTheme="minorEastAsia"/>
          <w:lang w:val="es-PE"/>
        </w:rPr>
        <w:t xml:space="preserve">. Por cada unidad adicional en el VAIC, el ROA de un banco es </w:t>
      </w:r>
      <w:r>
        <w:rPr>
          <w:rFonts w:eastAsiaTheme="minorEastAsia"/>
          <w:lang w:val="es-PE"/>
        </w:rPr>
        <w:t>1.</w:t>
      </w:r>
      <w:r w:rsidR="009B12AA">
        <w:rPr>
          <w:rFonts w:eastAsiaTheme="minorEastAsia"/>
          <w:lang w:val="es-PE"/>
        </w:rPr>
        <w:t>34</w:t>
      </w:r>
      <w:r>
        <w:rPr>
          <w:rFonts w:eastAsiaTheme="minorEastAsia"/>
          <w:lang w:val="es-PE"/>
        </w:rPr>
        <w:t>% mayor.</w:t>
      </w:r>
      <w:r w:rsidR="00250FE2">
        <w:rPr>
          <w:rFonts w:eastAsiaTheme="minorEastAsia"/>
          <w:lang w:val="es-PE"/>
        </w:rPr>
        <w:t xml:space="preserve"> Además, el tamaño es significativo y negativo, con un efecto leve sobre el ROA. Por cada unidad de aumento de la variable, el ROA cae 0.67%.</w:t>
      </w:r>
    </w:p>
    <w:p w14:paraId="576BD1F9" w14:textId="5E632A7A" w:rsidR="00250FE2" w:rsidRDefault="00090096" w:rsidP="00090096">
      <w:pPr>
        <w:jc w:val="both"/>
        <w:rPr>
          <w:rFonts w:eastAsiaTheme="minorEastAsia"/>
          <w:lang w:val="es-PE"/>
        </w:rPr>
      </w:pPr>
      <w:r>
        <w:rPr>
          <w:rFonts w:eastAsiaTheme="minorEastAsia"/>
          <w:lang w:val="es-PE"/>
        </w:rPr>
        <w:t>En el modelo 2 el capital físico o CCE es estadísticamente significativo con un coeficiente de 0</w:t>
      </w:r>
      <w:r w:rsidR="008B18BD">
        <w:rPr>
          <w:rFonts w:eastAsiaTheme="minorEastAsia"/>
          <w:lang w:val="es-PE"/>
        </w:rPr>
        <w:t>.0317</w:t>
      </w:r>
      <w:r>
        <w:rPr>
          <w:rFonts w:eastAsiaTheme="minorEastAsia"/>
          <w:lang w:val="es-PE"/>
        </w:rPr>
        <w:t xml:space="preserve"> (***). Así, un aumento en una unidad del CEE significa un ROA 3.</w:t>
      </w:r>
      <w:r w:rsidR="008B18BD">
        <w:rPr>
          <w:rFonts w:eastAsiaTheme="minorEastAsia"/>
          <w:lang w:val="es-PE"/>
        </w:rPr>
        <w:t>1</w:t>
      </w:r>
      <w:r>
        <w:rPr>
          <w:rFonts w:eastAsiaTheme="minorEastAsia"/>
          <w:lang w:val="es-PE"/>
        </w:rPr>
        <w:t xml:space="preserve">7% mayor. Asimismo, la variable de tamaño es estadísticamente significativa, aunque impacta negativamente a la caja (-0.0076 ***). Ello implica que un aumento en una unidad de esta variable reduce el ROA de la caja municipal en 0.76%. </w:t>
      </w:r>
    </w:p>
    <w:sectPr w:rsidR="00250FE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C3"/>
    <w:rsid w:val="0000485C"/>
    <w:rsid w:val="00090096"/>
    <w:rsid w:val="001C70C3"/>
    <w:rsid w:val="00226E02"/>
    <w:rsid w:val="00250FE2"/>
    <w:rsid w:val="00287841"/>
    <w:rsid w:val="00312F0B"/>
    <w:rsid w:val="00357290"/>
    <w:rsid w:val="00440361"/>
    <w:rsid w:val="00727971"/>
    <w:rsid w:val="008B18BD"/>
    <w:rsid w:val="009B12AA"/>
    <w:rsid w:val="00B92A7B"/>
    <w:rsid w:val="00E8555B"/>
    <w:rsid w:val="00EA0ACE"/>
    <w:rsid w:val="00F1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85A1"/>
  <w15:chartTrackingRefBased/>
  <w15:docId w15:val="{F1126236-D2BE-4A4C-9039-5D576447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0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A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A0A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Cabrera Bonilla</dc:creator>
  <cp:keywords/>
  <dc:description/>
  <cp:lastModifiedBy>Esteban Cabrera Bonilla</cp:lastModifiedBy>
  <cp:revision>5</cp:revision>
  <dcterms:created xsi:type="dcterms:W3CDTF">2025-01-05T19:06:00Z</dcterms:created>
  <dcterms:modified xsi:type="dcterms:W3CDTF">2025-01-06T01:45:00Z</dcterms:modified>
</cp:coreProperties>
</file>