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073F3" w14:textId="2E874EBE" w:rsidR="00226E02" w:rsidRDefault="00EA0ACE" w:rsidP="005E361A">
      <w:pPr>
        <w:pStyle w:val="Ttulo1"/>
        <w:numPr>
          <w:ilvl w:val="0"/>
          <w:numId w:val="1"/>
        </w:numPr>
        <w:rPr>
          <w:lang w:val="es-PE"/>
        </w:rPr>
      </w:pPr>
      <w:r>
        <w:rPr>
          <w:lang w:val="es-PE"/>
        </w:rPr>
        <w:t>Resultados econométricos</w:t>
      </w:r>
    </w:p>
    <w:p w14:paraId="761185F4" w14:textId="7F11DA7C" w:rsidR="00EA0ACE" w:rsidRPr="00250C41" w:rsidRDefault="00EA0ACE" w:rsidP="00EA0ACE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Se está trabajando con los siguientes dos modelos</w:t>
      </w:r>
      <w:r w:rsidR="005E361A">
        <w:rPr>
          <w:rFonts w:ascii="Times New Roman" w:hAnsi="Times New Roman" w:cs="Times New Roman"/>
          <w:sz w:val="24"/>
          <w:szCs w:val="24"/>
          <w:lang w:val="es-PE"/>
        </w:rPr>
        <w:t xml:space="preserve"> base</w:t>
      </w:r>
      <w:r w:rsidR="00250C41">
        <w:rPr>
          <w:rFonts w:ascii="Times New Roman" w:hAnsi="Times New Roman" w:cs="Times New Roman"/>
          <w:sz w:val="24"/>
          <w:szCs w:val="24"/>
          <w:lang w:val="es-PE"/>
        </w:rPr>
        <w:t>:</w:t>
      </w:r>
    </w:p>
    <w:p w14:paraId="6D38FD7E" w14:textId="119078FA" w:rsidR="00EA0ACE" w:rsidRPr="005E361A" w:rsidRDefault="00EA0ACE" w:rsidP="00EA0ACE">
      <w:pPr>
        <w:rPr>
          <w:rFonts w:eastAsiaTheme="minorEastAsia"/>
          <w:lang w:val="es-P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PE"/>
            </w:rPr>
            <m:t>Modelo 1 : RO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A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0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1</m:t>
              </m:r>
            </m:sub>
          </m:sSub>
          <m:r>
            <w:rPr>
              <w:rFonts w:ascii="Cambria Math" w:hAnsi="Cambria Math"/>
              <w:lang w:val="es-PE"/>
            </w:rPr>
            <m:t>VAI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C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2</m:t>
              </m:r>
            </m:sub>
          </m:sSub>
          <m:r>
            <w:rPr>
              <w:rFonts w:ascii="Cambria Math" w:hAnsi="Cambria Math"/>
              <w:lang w:val="es-PE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3</m:t>
              </m:r>
            </m:sub>
          </m:sSub>
          <m:r>
            <w:rPr>
              <w:rFonts w:ascii="Cambria Math" w:hAnsi="Cambria Math"/>
              <w:lang w:val="es-PE"/>
            </w:rPr>
            <m:t>DEB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T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ϵ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</m:oMath>
      </m:oMathPara>
    </w:p>
    <w:p w14:paraId="24D5E4E1" w14:textId="1D67A9A4" w:rsidR="00EA0ACE" w:rsidRPr="005E361A" w:rsidRDefault="00EA0ACE" w:rsidP="00EA0ACE">
      <w:pPr>
        <w:rPr>
          <w:rFonts w:eastAsiaTheme="minorEastAsia"/>
          <w:lang w:val="es-P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PE"/>
            </w:rPr>
            <m:t>Modelo 2 :RO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A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0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1</m:t>
              </m:r>
            </m:sub>
          </m:sSub>
          <m:r>
            <w:rPr>
              <w:rFonts w:ascii="Cambria Math" w:hAnsi="Cambria Math"/>
              <w:lang w:val="es-PE"/>
            </w:rPr>
            <m:t>HC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2</m:t>
              </m:r>
            </m:sub>
          </m:sSub>
          <m:r>
            <w:rPr>
              <w:rFonts w:ascii="Cambria Math" w:hAnsi="Cambria Math"/>
              <w:lang w:val="es-PE"/>
            </w:rPr>
            <m:t>SC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3</m:t>
              </m:r>
            </m:sub>
          </m:sSub>
          <m:r>
            <w:rPr>
              <w:rFonts w:ascii="Cambria Math" w:hAnsi="Cambria Math"/>
              <w:lang w:val="es-PE"/>
            </w:rPr>
            <m:t>CC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4</m:t>
              </m:r>
            </m:sub>
          </m:sSub>
          <m:r>
            <w:rPr>
              <w:rFonts w:ascii="Cambria Math" w:hAnsi="Cambria Math"/>
              <w:lang w:val="es-PE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5</m:t>
              </m:r>
            </m:sub>
          </m:sSub>
          <m:r>
            <w:rPr>
              <w:rFonts w:ascii="Cambria Math" w:hAnsi="Cambria Math"/>
              <w:lang w:val="es-PE"/>
            </w:rPr>
            <m:t>DEB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T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ϵ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 xml:space="preserve"> </m:t>
          </m:r>
        </m:oMath>
      </m:oMathPara>
    </w:p>
    <w:p w14:paraId="3D0B865D" w14:textId="7AB5A553" w:rsidR="005E361A" w:rsidRPr="005E361A" w:rsidRDefault="005E361A" w:rsidP="00EA0ACE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5E361A">
        <w:rPr>
          <w:rFonts w:ascii="Times New Roman" w:hAnsi="Times New Roman" w:cs="Times New Roman"/>
          <w:sz w:val="24"/>
          <w:szCs w:val="24"/>
          <w:lang w:val="es-PE"/>
        </w:rPr>
        <w:t>donde, en caso se utilice un modelo de efectos fijos:</w:t>
      </w:r>
    </w:p>
    <w:p w14:paraId="4C0CF8D3" w14:textId="3211EFA5" w:rsidR="005E361A" w:rsidRPr="005E361A" w:rsidRDefault="005E361A" w:rsidP="00EA0ACE">
      <w:pPr>
        <w:rPr>
          <w:rFonts w:eastAsiaTheme="minorEastAsia"/>
          <w:lang w:val="es-P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s-PE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P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PE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s-PE"/>
                </w:rPr>
                <m:t>i</m:t>
              </m:r>
            </m:sub>
          </m:sSub>
        </m:oMath>
      </m:oMathPara>
    </w:p>
    <w:p w14:paraId="49228953" w14:textId="13CD9458" w:rsidR="005E361A" w:rsidRPr="005E361A" w:rsidRDefault="005E361A" w:rsidP="00EA0ACE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5E361A">
        <w:rPr>
          <w:rFonts w:ascii="Times New Roman" w:hAnsi="Times New Roman" w:cs="Times New Roman"/>
          <w:sz w:val="24"/>
          <w:szCs w:val="24"/>
          <w:lang w:val="es-PE"/>
        </w:rPr>
        <w:t>y en caso se aplique la autocorrelación de los errores:</w:t>
      </w:r>
    </w:p>
    <w:p w14:paraId="3EC0C62D" w14:textId="1BED0C07" w:rsidR="005E361A" w:rsidRPr="00135FB8" w:rsidRDefault="005E361A" w:rsidP="00EA0A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εit​=ρ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i,t-1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</m:oMath>
      </m:oMathPara>
    </w:p>
    <w:p w14:paraId="0B5BD545" w14:textId="04CD4E9E" w:rsidR="00135FB8" w:rsidRPr="00135FB8" w:rsidRDefault="00135FB8" w:rsidP="00EA0ACE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135FB8">
        <w:rPr>
          <w:rFonts w:ascii="Times New Roman" w:hAnsi="Times New Roman" w:cs="Times New Roman"/>
          <w:sz w:val="24"/>
          <w:szCs w:val="24"/>
          <w:lang w:val="es-PE"/>
        </w:rPr>
        <w:t>Asimismo, se aplican errores estándares robustos para corregir por autocorrelación</w:t>
      </w:r>
      <w:r>
        <w:rPr>
          <w:rFonts w:ascii="Times New Roman" w:hAnsi="Times New Roman" w:cs="Times New Roman"/>
          <w:sz w:val="24"/>
          <w:szCs w:val="24"/>
          <w:lang w:val="es-PE"/>
        </w:rPr>
        <w:t>.</w:t>
      </w:r>
      <w:r w:rsidRPr="00135FB8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09BABB18" w14:textId="590BE6D8" w:rsidR="005E361A" w:rsidRPr="005E361A" w:rsidRDefault="005E361A" w:rsidP="005E361A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5E361A">
        <w:rPr>
          <w:rFonts w:ascii="Times New Roman" w:hAnsi="Times New Roman" w:cs="Times New Roman"/>
          <w:sz w:val="24"/>
          <w:szCs w:val="24"/>
          <w:lang w:val="es-PE"/>
        </w:rPr>
        <w:t xml:space="preserve">Para decidir si utilizar un modelo de efectos fijos o aleatorios, y un modelo con autocorrelación en los errores o sin esta, se está aplicando </w:t>
      </w:r>
      <w:proofErr w:type="gramStart"/>
      <w:r w:rsidRPr="005E361A">
        <w:rPr>
          <w:rFonts w:ascii="Times New Roman" w:hAnsi="Times New Roman" w:cs="Times New Roman"/>
          <w:sz w:val="24"/>
          <w:szCs w:val="24"/>
          <w:lang w:val="es-PE"/>
        </w:rPr>
        <w:t>el test</w:t>
      </w:r>
      <w:proofErr w:type="gramEnd"/>
      <w:r w:rsidRPr="005E361A">
        <w:rPr>
          <w:rFonts w:ascii="Times New Roman" w:hAnsi="Times New Roman" w:cs="Times New Roman"/>
          <w:sz w:val="24"/>
          <w:szCs w:val="24"/>
          <w:lang w:val="es-PE"/>
        </w:rPr>
        <w:t xml:space="preserve"> de </w:t>
      </w:r>
      <w:proofErr w:type="spellStart"/>
      <w:r w:rsidRPr="005E361A">
        <w:rPr>
          <w:rFonts w:ascii="Times New Roman" w:hAnsi="Times New Roman" w:cs="Times New Roman"/>
          <w:sz w:val="24"/>
          <w:szCs w:val="24"/>
          <w:lang w:val="es-PE"/>
        </w:rPr>
        <w:t>Hausman</w:t>
      </w:r>
      <w:proofErr w:type="spellEnd"/>
      <w:r w:rsidRPr="005E361A">
        <w:rPr>
          <w:rFonts w:ascii="Times New Roman" w:hAnsi="Times New Roman" w:cs="Times New Roman"/>
          <w:sz w:val="24"/>
          <w:szCs w:val="24"/>
          <w:lang w:val="es-PE"/>
        </w:rPr>
        <w:t xml:space="preserve"> y el test de </w:t>
      </w:r>
      <w:proofErr w:type="spellStart"/>
      <w:r w:rsidRPr="005E361A">
        <w:rPr>
          <w:rFonts w:ascii="Times New Roman" w:hAnsi="Times New Roman" w:cs="Times New Roman"/>
          <w:sz w:val="24"/>
          <w:szCs w:val="24"/>
          <w:lang w:val="es-PE"/>
        </w:rPr>
        <w:t>Woolridge</w:t>
      </w:r>
      <w:proofErr w:type="spellEnd"/>
      <w:r w:rsidRPr="005E361A">
        <w:rPr>
          <w:rFonts w:ascii="Times New Roman" w:hAnsi="Times New Roman" w:cs="Times New Roman"/>
          <w:sz w:val="24"/>
          <w:szCs w:val="24"/>
          <w:lang w:val="es-PE"/>
        </w:rPr>
        <w:t xml:space="preserve">, respectivamente, cuyos resultados veremos en </w:t>
      </w:r>
      <w:r>
        <w:rPr>
          <w:rFonts w:ascii="Times New Roman" w:hAnsi="Times New Roman" w:cs="Times New Roman"/>
          <w:sz w:val="24"/>
          <w:szCs w:val="24"/>
          <w:lang w:val="es-PE"/>
        </w:rPr>
        <w:t>la siguiente sección.</w:t>
      </w:r>
    </w:p>
    <w:p w14:paraId="3880BF3C" w14:textId="4B5550EA" w:rsidR="001408B3" w:rsidRPr="005E361A" w:rsidRDefault="001408B3" w:rsidP="005E361A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5E361A">
        <w:rPr>
          <w:rFonts w:ascii="Times New Roman" w:hAnsi="Times New Roman" w:cs="Times New Roman"/>
          <w:sz w:val="24"/>
          <w:szCs w:val="24"/>
          <w:lang w:val="es-PE"/>
        </w:rPr>
        <w:t>Del total de las 29 entidades financieras de las que se recolectó información pública disponible en la Superintendencia del Mercado de Valores (SMV), no se consideran dos financieras (</w:t>
      </w:r>
      <w:proofErr w:type="gramStart"/>
      <w:r w:rsidRPr="005E361A">
        <w:rPr>
          <w:rFonts w:ascii="Times New Roman" w:hAnsi="Times New Roman" w:cs="Times New Roman"/>
          <w:sz w:val="24"/>
          <w:szCs w:val="24"/>
          <w:lang w:val="es-PE"/>
        </w:rPr>
        <w:t>FINANCIERA OH!</w:t>
      </w:r>
      <w:proofErr w:type="gramEnd"/>
      <w:r w:rsidRPr="005E361A">
        <w:rPr>
          <w:rFonts w:ascii="Times New Roman" w:hAnsi="Times New Roman" w:cs="Times New Roman"/>
          <w:sz w:val="24"/>
          <w:szCs w:val="24"/>
          <w:lang w:val="es-PE"/>
        </w:rPr>
        <w:t xml:space="preserve"> y</w:t>
      </w:r>
      <w:r w:rsidRPr="005E361A">
        <w:rPr>
          <w:rFonts w:ascii="Times New Roman" w:hAnsi="Times New Roman" w:cs="Times New Roman"/>
          <w:sz w:val="24"/>
          <w:szCs w:val="24"/>
          <w:lang w:val="es-PE"/>
        </w:rPr>
        <w:t xml:space="preserve"> FINANCIERA QAPAC</w:t>
      </w:r>
      <w:r w:rsidRPr="005E361A">
        <w:rPr>
          <w:rFonts w:ascii="Times New Roman" w:hAnsi="Times New Roman" w:cs="Times New Roman"/>
          <w:sz w:val="24"/>
          <w:szCs w:val="24"/>
          <w:lang w:val="es-PE"/>
        </w:rPr>
        <w:t xml:space="preserve">), y una caja municipal (CAJA LOS ANDES) debido a la presencia de </w:t>
      </w:r>
      <w:proofErr w:type="spellStart"/>
      <w:r w:rsidRPr="005E361A">
        <w:rPr>
          <w:rFonts w:ascii="Times New Roman" w:hAnsi="Times New Roman" w:cs="Times New Roman"/>
          <w:sz w:val="24"/>
          <w:szCs w:val="24"/>
          <w:lang w:val="es-PE"/>
        </w:rPr>
        <w:t>outliers</w:t>
      </w:r>
      <w:proofErr w:type="spellEnd"/>
      <w:r w:rsidRPr="005E361A">
        <w:rPr>
          <w:rFonts w:ascii="Times New Roman" w:hAnsi="Times New Roman" w:cs="Times New Roman"/>
          <w:sz w:val="24"/>
          <w:szCs w:val="24"/>
          <w:lang w:val="es-PE"/>
        </w:rPr>
        <w:t xml:space="preserve"> (valores extremos) considerables durante la pandemia del COVID-19, los cuáles pueden llegar a causar inconsistencias en los resultados.</w:t>
      </w:r>
    </w:p>
    <w:p w14:paraId="49F660B9" w14:textId="6AF78CA7" w:rsidR="00EA0ACE" w:rsidRDefault="00EA0ACE" w:rsidP="00EA0ACE">
      <w:pPr>
        <w:pStyle w:val="Ttulo2"/>
        <w:rPr>
          <w:lang w:val="es-PE"/>
        </w:rPr>
      </w:pPr>
      <w:r>
        <w:rPr>
          <w:lang w:val="es-PE"/>
        </w:rPr>
        <w:t>Entidades financieras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9B12AA" w:rsidRPr="009B12AA" w14:paraId="558ACAC0" w14:textId="77777777" w:rsidTr="009B12A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5B6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BC9BE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63A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5D6A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A33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20378706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0A2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E80C8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6EF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0F2BD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23E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440742EC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C1CE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EC06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C43F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091E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56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6F6733A4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3924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FF90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C74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8AFF3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E4F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47F3BA61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1F3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AD4D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633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E5140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E72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</w:t>
            </w:r>
          </w:p>
        </w:tc>
      </w:tr>
      <w:tr w:rsidR="009B12AA" w:rsidRPr="009B12AA" w14:paraId="474B8A31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F4B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5729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AC3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FF3D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A51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1E527122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4DCC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2565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092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78DFE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0.0812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F4D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502C8F4E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E73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4F5DC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BA56" w14:textId="3B6BE016" w:rsidR="009B12AA" w:rsidRPr="009B12AA" w:rsidRDefault="001408B3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408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13EAC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-0.0282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26A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05EBA2FC" w14:textId="77777777" w:rsidTr="001408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929A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140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5AF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6F78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36F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408B3" w:rsidRPr="009B12AA" w14:paraId="32E1450A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839AE" w14:textId="1F98C31F" w:rsidR="001408B3" w:rsidRPr="001408B3" w:rsidRDefault="001408B3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global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89A6EC" w14:textId="5805CF0C" w:rsidR="001408B3" w:rsidRPr="009B12AA" w:rsidRDefault="001408B3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575FC" w14:textId="77777777" w:rsidR="001408B3" w:rsidRPr="009B12AA" w:rsidRDefault="001408B3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1C44FA" w14:textId="6DE45BF4" w:rsidR="001408B3" w:rsidRPr="009B12AA" w:rsidRDefault="001408B3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EEB30" w14:textId="77777777" w:rsidR="001408B3" w:rsidRPr="009B12AA" w:rsidRDefault="001408B3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408B3" w:rsidRPr="009B12AA" w14:paraId="57E62981" w14:textId="77777777" w:rsidTr="002A79A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4F28A" w14:textId="2AA4F526" w:rsidR="001408B3" w:rsidRPr="002A79A2" w:rsidRDefault="002A79A2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985FB" w14:textId="7282EE3C" w:rsidR="001408B3" w:rsidRPr="009B12AA" w:rsidRDefault="002A79A2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79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0.0076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5AC99" w14:textId="77777777" w:rsidR="001408B3" w:rsidRPr="009B12AA" w:rsidRDefault="001408B3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B4F2F" w14:textId="015EDE18" w:rsidR="001408B3" w:rsidRPr="009B12AA" w:rsidRDefault="002A79A2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79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0.0135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9A39B" w14:textId="77777777" w:rsidR="001408B3" w:rsidRPr="009B12AA" w:rsidRDefault="001408B3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A79A2" w:rsidRPr="009B12AA" w14:paraId="1CE0DD43" w14:textId="77777777" w:rsidTr="002A79A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A19F1" w14:textId="3BFE6042" w:rsidR="002A79A2" w:rsidRPr="002A79A2" w:rsidRDefault="002A79A2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20CC4" w14:textId="26DB096D" w:rsidR="002A79A2" w:rsidRPr="009B12AA" w:rsidRDefault="002A79A2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79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0.0098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0895A" w14:textId="77777777" w:rsidR="002A79A2" w:rsidRPr="009B12AA" w:rsidRDefault="002A79A2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22CD7" w14:textId="0426740F" w:rsidR="002A79A2" w:rsidRPr="009B12AA" w:rsidRDefault="002A79A2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79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F2A91" w14:textId="77777777" w:rsidR="002A79A2" w:rsidRPr="009B12AA" w:rsidRDefault="002A79A2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A79A2" w:rsidRPr="009B12AA" w14:paraId="0B3D0BF5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C903A" w14:textId="3F88E7F9" w:rsidR="002A79A2" w:rsidRPr="002A79A2" w:rsidRDefault="002A79A2" w:rsidP="009B12AA">
            <w:pPr>
              <w:spacing w:after="0" w:line="240" w:lineRule="auto"/>
              <w:rPr>
                <w:rFonts w:ascii="Calibri" w:eastAsia="Calibri" w:hAnsi="Calibri" w:cs="Times New Roman"/>
                <w:color w:val="000000"/>
                <w:kern w:val="0"/>
                <w14:ligatures w14:val="non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color w:val="000000"/>
                    <w:kern w:val="0"/>
                    <w14:ligatures w14:val="none"/>
                  </w:rPr>
                  <m:t>ρ</m:t>
                </m:r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25ED31" w14:textId="0CD6C02D" w:rsidR="002A79A2" w:rsidRPr="002A79A2" w:rsidRDefault="002A79A2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79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0.3732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94EC2" w14:textId="77777777" w:rsidR="002A79A2" w:rsidRPr="009B12AA" w:rsidRDefault="002A79A2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1F6023" w14:textId="38AA2495" w:rsidR="002A79A2" w:rsidRPr="002A79A2" w:rsidRDefault="002A79A2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79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0.8005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7FB9F" w14:textId="77777777" w:rsidR="002A79A2" w:rsidRPr="009B12AA" w:rsidRDefault="002A79A2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E46681B" w14:textId="77777777" w:rsidR="002A79A2" w:rsidRDefault="002A79A2" w:rsidP="00EA0ACE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40E542F7" w14:textId="77777777" w:rsidR="00E32B76" w:rsidRDefault="001408B3" w:rsidP="00EA0ACE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Se tiene un total de 130 observaciones correspondiente a 26 entidades financieras durante un periodo de 5 años. </w:t>
      </w:r>
      <w:r w:rsidR="005E361A">
        <w:rPr>
          <w:rFonts w:ascii="Times New Roman" w:hAnsi="Times New Roman" w:cs="Times New Roman"/>
          <w:sz w:val="24"/>
          <w:szCs w:val="24"/>
          <w:lang w:val="es-PE"/>
        </w:rPr>
        <w:t xml:space="preserve">En el modelo 1 se aplica un modelo de efectos aleatorios y en el modelo 2 uno de efectos fijos.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El R2 del modelo 1 indica que las variables independientes </w:t>
      </w:r>
      <w:r>
        <w:rPr>
          <w:rFonts w:ascii="Times New Roman" w:hAnsi="Times New Roman" w:cs="Times New Roman"/>
          <w:sz w:val="24"/>
          <w:szCs w:val="24"/>
          <w:lang w:val="es-PE"/>
        </w:rPr>
        <w:lastRenderedPageBreak/>
        <w:t xml:space="preserve">explican un 54% de la variabilidad de la dependiente, mientras que en el caso del modelo 2, estas explican un 49% de la misma. </w:t>
      </w:r>
      <w:r w:rsidR="002A79A2">
        <w:rPr>
          <w:rFonts w:ascii="Times New Roman" w:hAnsi="Times New Roman" w:cs="Times New Roman"/>
          <w:sz w:val="24"/>
          <w:szCs w:val="24"/>
          <w:lang w:val="es-PE"/>
        </w:rPr>
        <w:t>La varianza entre grupos (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u</m:t>
            </m:r>
          </m:sub>
        </m:sSub>
      </m:oMath>
      <w:r w:rsidR="002A79A2">
        <w:rPr>
          <w:rFonts w:ascii="Times New Roman" w:hAnsi="Times New Roman" w:cs="Times New Roman"/>
          <w:sz w:val="24"/>
          <w:szCs w:val="24"/>
          <w:lang w:val="es-PE"/>
        </w:rPr>
        <w:t>) es ligeramente mayor en el modelo 2, mientras que el modelo 2 tiene menor error individual (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e</m:t>
            </m:r>
          </m:sub>
        </m:sSub>
      </m:oMath>
      <w:r w:rsidR="002A79A2">
        <w:rPr>
          <w:rFonts w:ascii="Times New Roman" w:hAnsi="Times New Roman" w:cs="Times New Roman"/>
          <w:sz w:val="24"/>
          <w:szCs w:val="24"/>
          <w:lang w:val="es-PE"/>
        </w:rPr>
        <w:t xml:space="preserve">). </w:t>
      </w:r>
    </w:p>
    <w:p w14:paraId="1B091ECE" w14:textId="312A5AAC" w:rsidR="001408B3" w:rsidRDefault="002A79A2" w:rsidP="00EA0ACE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Finalmente, la proporción</w:t>
      </w:r>
      <w:r w:rsidRPr="002A79A2">
        <w:rPr>
          <w:rFonts w:ascii="Times New Roman" w:hAnsi="Times New Roman" w:cs="Times New Roman"/>
          <w:sz w:val="24"/>
          <w:szCs w:val="24"/>
          <w:lang w:val="es-PE"/>
        </w:rPr>
        <w:t xml:space="preserve"> de la varianza explicada por las diferencias entre grupos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  <w:lang w:val="es-PE"/>
          </w:rPr>
          <m:t>ρ</m:t>
        </m:r>
      </m:oMath>
      <w:r>
        <w:rPr>
          <w:rFonts w:ascii="Times New Roman" w:hAnsi="Times New Roman" w:cs="Times New Roman"/>
          <w:sz w:val="24"/>
          <w:szCs w:val="24"/>
          <w:lang w:val="es-PE"/>
        </w:rPr>
        <w:t>) es mayor en el modelo 2 (80%), por lo cual este modelo capta mejor las diferencias entre entidades financieras.</w:t>
      </w:r>
    </w:p>
    <w:p w14:paraId="0B6FAD75" w14:textId="6CA8992C" w:rsidR="00357290" w:rsidRPr="00250C41" w:rsidRDefault="00357290" w:rsidP="00EA0ACE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En el modelo 1, se ve que el VAIC tiene un efecto positivo y significativo para todas las empresas financieras (bancos, financieras y cajas). El coeficiente es 0.0082 (***), indicando que una unidad más en el VAIC significa un 0.82% más de ROA para las empresas del sector financiero en general.</w:t>
      </w:r>
    </w:p>
    <w:p w14:paraId="4B9ED7A6" w14:textId="0F8E79BA" w:rsidR="00357290" w:rsidRDefault="00357290" w:rsidP="00EA0ACE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Por otro lado, en el modelo se observa que tanto el capital humano como el capital físico son significativos. El primer tiene un coeficiente de 0.0031 (**), por lo cual un aumento en una unidad de esta variable significa un aumento del 0.31% del ROA de la empresa. El segundo tiene un coeficiente de 0.0812. Así, un aumento en una unidad en esta variable significa que el ROA sube un 8.12% para la empresa.</w:t>
      </w:r>
    </w:p>
    <w:p w14:paraId="58E6D7D8" w14:textId="6A0C80D1" w:rsidR="00EA0ACE" w:rsidRDefault="00EA0ACE" w:rsidP="00EA0ACE">
      <w:pPr>
        <w:pStyle w:val="Ttulo2"/>
        <w:rPr>
          <w:lang w:val="es-PE"/>
        </w:rPr>
      </w:pPr>
      <w:r>
        <w:rPr>
          <w:lang w:val="es-PE"/>
        </w:rPr>
        <w:t>Bancos</w:t>
      </w:r>
    </w:p>
    <w:tbl>
      <w:tblPr>
        <w:tblW w:w="481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00485C" w:rsidRPr="0000485C" w14:paraId="255AC24F" w14:textId="77777777" w:rsidTr="0000485C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698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7D97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EB3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5800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B80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156017A1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26A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04888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0.0071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52E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895C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D02D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42E412CC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47B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620B9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47B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68157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A71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279CD4C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0156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A294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EF0C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802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BF2D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319F407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947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E03A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EB8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E1C97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AD9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00485C" w:rsidRPr="0000485C" w14:paraId="3C07ECEF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E693" w14:textId="77777777" w:rsidR="0000485C" w:rsidRPr="003257D2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257D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55FBC" w14:textId="77777777" w:rsidR="0000485C" w:rsidRPr="003257D2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257D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69F7" w14:textId="77777777" w:rsidR="0000485C" w:rsidRPr="003257D2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257D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C0B30" w14:textId="77777777" w:rsidR="0000485C" w:rsidRPr="003257D2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257D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FDD7" w14:textId="77777777" w:rsidR="0000485C" w:rsidRPr="003257D2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257D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</w:t>
            </w:r>
          </w:p>
        </w:tc>
      </w:tr>
      <w:tr w:rsidR="0000485C" w:rsidRPr="0000485C" w14:paraId="5410E3FD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5FC6" w14:textId="77777777" w:rsidR="0000485C" w:rsidRPr="003257D2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257D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BE554" w14:textId="77777777" w:rsidR="0000485C" w:rsidRPr="003257D2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257D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9C6A" w14:textId="77777777" w:rsidR="0000485C" w:rsidRPr="003257D2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257D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3A45" w14:textId="77777777" w:rsidR="0000485C" w:rsidRPr="003257D2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257D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0.0402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1F8A" w14:textId="77777777" w:rsidR="0000485C" w:rsidRPr="003257D2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257D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</w:t>
            </w:r>
          </w:p>
        </w:tc>
      </w:tr>
      <w:tr w:rsidR="0000485C" w:rsidRPr="0000485C" w14:paraId="78AE2FF2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3D00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BE58A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-0.0182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D65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8C770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-0.0162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C28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7B4E6FFC" w14:textId="77777777" w:rsidTr="002A79A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49A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82ED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84FB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6493" w14:textId="72B8DF15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61F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79A2" w:rsidRPr="0000485C" w14:paraId="79EFFC31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5715A" w14:textId="477C86B5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global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8A6E8C" w14:textId="56F5930D" w:rsidR="002A79A2" w:rsidRPr="0000485C" w:rsidRDefault="009B3B9D" w:rsidP="002A7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3B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0.7734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FDD94" w14:textId="77777777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4661C" w14:textId="3E6911B1" w:rsidR="002A79A2" w:rsidRDefault="009B3B9D" w:rsidP="002A7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3B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0.7878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E16DD" w14:textId="77777777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A79A2" w:rsidRPr="0000485C" w14:paraId="349D3E8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4DF42" w14:textId="5706A241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E5C995" w14:textId="4CE06487" w:rsidR="002A79A2" w:rsidRPr="0000485C" w:rsidRDefault="009B3B9D" w:rsidP="002A7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3B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0.0035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33478" w14:textId="77777777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B0A32F" w14:textId="471CBAE4" w:rsidR="002A79A2" w:rsidRDefault="009B3B9D" w:rsidP="002A7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3B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0.0072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EF69" w14:textId="77777777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A79A2" w:rsidRPr="0000485C" w14:paraId="191CA421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799EA" w14:textId="1C88E327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D87966" w14:textId="40A3E2F8" w:rsidR="002A79A2" w:rsidRPr="0000485C" w:rsidRDefault="009B3B9D" w:rsidP="002A7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3B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0.0067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644A0" w14:textId="77777777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7390A8" w14:textId="7EA3A3F9" w:rsidR="002A79A2" w:rsidRDefault="009B3B9D" w:rsidP="002A7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3B9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0.0049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15167" w14:textId="77777777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A79A2" w:rsidRPr="0000485C" w14:paraId="2B456648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E86FB" w14:textId="38E2DB51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kern w:val="0"/>
                    <w14:ligatures w14:val="none"/>
                  </w:rPr>
                  <m:t>ρ</m:t>
                </m:r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CCFBBD" w14:textId="28318B85" w:rsidR="002A79A2" w:rsidRPr="0000485C" w:rsidRDefault="00246BB0" w:rsidP="002A7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6B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501C" w14:textId="77777777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2822D4" w14:textId="14B9D8DC" w:rsidR="002A79A2" w:rsidRDefault="00246BB0" w:rsidP="002A7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46BB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0.684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04FE" w14:textId="77777777" w:rsidR="002A79A2" w:rsidRPr="0000485C" w:rsidRDefault="002A79A2" w:rsidP="002A7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4E28A4A" w14:textId="77777777" w:rsidR="00E32B76" w:rsidRDefault="009B3B9D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Se tiene un total de </w:t>
      </w:r>
      <w:r>
        <w:rPr>
          <w:rFonts w:ascii="Times New Roman" w:hAnsi="Times New Roman" w:cs="Times New Roman"/>
          <w:sz w:val="24"/>
          <w:szCs w:val="24"/>
          <w:lang w:val="es-PE"/>
        </w:rPr>
        <w:t>75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observaciones correspondiente a </w:t>
      </w:r>
      <w:r>
        <w:rPr>
          <w:rFonts w:ascii="Times New Roman" w:hAnsi="Times New Roman" w:cs="Times New Roman"/>
          <w:sz w:val="24"/>
          <w:szCs w:val="24"/>
          <w:lang w:val="es-PE"/>
        </w:rPr>
        <w:t>15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>bancos durante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un periodo de 5 años. En el modelo 1 se aplica un modelo de efectos aleatorios y en el modelo 2 uno de efectos fijos</w:t>
      </w:r>
      <w:r>
        <w:rPr>
          <w:rFonts w:ascii="Times New Roman" w:hAnsi="Times New Roman" w:cs="Times New Roman"/>
          <w:sz w:val="24"/>
          <w:szCs w:val="24"/>
          <w:lang w:val="es-PE"/>
        </w:rPr>
        <w:t>. En ambos casos se utilizan errores autorregresivos para corregir por la autocorrelación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</w:p>
    <w:p w14:paraId="3CEED33B" w14:textId="77777777" w:rsidR="00E32B76" w:rsidRDefault="009B3B9D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El R2 del modelo 1 indica que las variables independientes explican un </w:t>
      </w:r>
      <w:r>
        <w:rPr>
          <w:rFonts w:ascii="Times New Roman" w:hAnsi="Times New Roman" w:cs="Times New Roman"/>
          <w:sz w:val="24"/>
          <w:szCs w:val="24"/>
          <w:lang w:val="es-PE"/>
        </w:rPr>
        <w:t>77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% de la variabilidad de la dependiente, mientras que en el caso del modelo 2, estas explican un </w:t>
      </w:r>
      <w:r>
        <w:rPr>
          <w:rFonts w:ascii="Times New Roman" w:hAnsi="Times New Roman" w:cs="Times New Roman"/>
          <w:sz w:val="24"/>
          <w:szCs w:val="24"/>
          <w:lang w:val="es-PE"/>
        </w:rPr>
        <w:t>78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% de la misma.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En ambos casos se explica un gran porcentaje de la variable dependiente. </w:t>
      </w:r>
      <w:r>
        <w:rPr>
          <w:rFonts w:ascii="Times New Roman" w:hAnsi="Times New Roman" w:cs="Times New Roman"/>
          <w:sz w:val="24"/>
          <w:szCs w:val="24"/>
          <w:lang w:val="es-PE"/>
        </w:rPr>
        <w:t>La varianza entre grupos (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u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s-PE"/>
        </w:rPr>
        <w:t xml:space="preserve">) es mayor en el modelo 2, </w:t>
      </w:r>
      <w:r>
        <w:rPr>
          <w:rFonts w:ascii="Times New Roman" w:hAnsi="Times New Roman" w:cs="Times New Roman"/>
          <w:sz w:val="24"/>
          <w:szCs w:val="24"/>
          <w:lang w:val="es-PE"/>
        </w:rPr>
        <w:t>aunque esta también tiene un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menor error </w:t>
      </w:r>
      <w:r w:rsidR="00246BB0">
        <w:rPr>
          <w:rFonts w:ascii="Times New Roman" w:hAnsi="Times New Roman" w:cs="Times New Roman"/>
          <w:sz w:val="24"/>
          <w:szCs w:val="24"/>
          <w:lang w:val="es-PE"/>
        </w:rPr>
        <w:t>idiosincrático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e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246BB0">
        <w:rPr>
          <w:rFonts w:ascii="Times New Roman" w:hAnsi="Times New Roman" w:cs="Times New Roman"/>
          <w:sz w:val="24"/>
          <w:szCs w:val="24"/>
          <w:lang w:val="es-PE"/>
        </w:rPr>
        <w:t>,</w:t>
      </w:r>
      <w:r w:rsidR="00246BB0" w:rsidRPr="00246BB0">
        <w:rPr>
          <w:rFonts w:ascii="Times New Roman" w:hAnsi="Times New Roman" w:cs="Times New Roman"/>
          <w:sz w:val="24"/>
          <w:szCs w:val="24"/>
          <w:lang w:val="es-PE"/>
        </w:rPr>
        <w:t xml:space="preserve"> lo que indica que sus predicciones dentro de cada empresa son más precisas.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582BC3EF" w14:textId="7C8CB453" w:rsidR="002A79A2" w:rsidRDefault="009B3B9D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lastRenderedPageBreak/>
        <w:t>Finalmente, la proporción</w:t>
      </w:r>
      <w:r w:rsidRPr="002A79A2">
        <w:rPr>
          <w:rFonts w:ascii="Times New Roman" w:hAnsi="Times New Roman" w:cs="Times New Roman"/>
          <w:sz w:val="24"/>
          <w:szCs w:val="24"/>
          <w:lang w:val="es-PE"/>
        </w:rPr>
        <w:t xml:space="preserve"> de la varianza explicada por las diferencias entre grupos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  <w:lang w:val="es-PE"/>
          </w:rPr>
          <m:t>ρ</m:t>
        </m:r>
      </m:oMath>
      <w:r>
        <w:rPr>
          <w:rFonts w:ascii="Times New Roman" w:hAnsi="Times New Roman" w:cs="Times New Roman"/>
          <w:sz w:val="24"/>
          <w:szCs w:val="24"/>
          <w:lang w:val="es-PE"/>
        </w:rPr>
        <w:t>) es mayor en el modelo 2 (</w:t>
      </w:r>
      <w:r w:rsidR="00246BB0">
        <w:rPr>
          <w:rFonts w:ascii="Times New Roman" w:hAnsi="Times New Roman" w:cs="Times New Roman"/>
          <w:sz w:val="24"/>
          <w:szCs w:val="24"/>
          <w:lang w:val="es-PE"/>
        </w:rPr>
        <w:t>68</w:t>
      </w:r>
      <w:r>
        <w:rPr>
          <w:rFonts w:ascii="Times New Roman" w:hAnsi="Times New Roman" w:cs="Times New Roman"/>
          <w:sz w:val="24"/>
          <w:szCs w:val="24"/>
          <w:lang w:val="es-PE"/>
        </w:rPr>
        <w:t>%)</w:t>
      </w:r>
      <w:r w:rsidR="00246BB0">
        <w:rPr>
          <w:rFonts w:ascii="Times New Roman" w:hAnsi="Times New Roman" w:cs="Times New Roman"/>
          <w:sz w:val="24"/>
          <w:szCs w:val="24"/>
          <w:lang w:val="es-PE"/>
        </w:rPr>
        <w:t>.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246BB0">
        <w:rPr>
          <w:rFonts w:ascii="Times New Roman" w:hAnsi="Times New Roman" w:cs="Times New Roman"/>
          <w:sz w:val="24"/>
          <w:szCs w:val="24"/>
          <w:lang w:val="es-PE"/>
        </w:rPr>
        <w:t>Este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modelo capta mejor las diferencias entre </w:t>
      </w:r>
      <w:r w:rsidR="00246BB0">
        <w:rPr>
          <w:rFonts w:ascii="Times New Roman" w:hAnsi="Times New Roman" w:cs="Times New Roman"/>
          <w:sz w:val="24"/>
          <w:szCs w:val="24"/>
          <w:lang w:val="es-PE"/>
        </w:rPr>
        <w:t>los bancos.</w:t>
      </w:r>
    </w:p>
    <w:p w14:paraId="3F87D8B5" w14:textId="77777777" w:rsidR="002A79A2" w:rsidRDefault="002A79A2" w:rsidP="00250C41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4BC442FD" w14:textId="22089D50" w:rsidR="00EA0ACE" w:rsidRPr="00250C41" w:rsidRDefault="00EA0ACE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Se observa que el modelo 1, se observa que el VAIC, el cual es el valor agregado del capital intelectual resulta estadísticamente significativo en su impacto al ROA</w:t>
      </w:r>
      <w:r w:rsidR="00B92A7B"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, aunque este es muy bajo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PE"/>
          </w:rPr>
          <m:t>(0.0071***)</m:t>
        </m:r>
      </m:oMath>
      <w:r w:rsidR="00440361" w:rsidRPr="00250C41">
        <w:rPr>
          <w:rFonts w:ascii="Times New Roman" w:hAnsi="Times New Roman" w:cs="Times New Roman"/>
          <w:sz w:val="24"/>
          <w:szCs w:val="24"/>
          <w:lang w:val="es-PE"/>
        </w:rPr>
        <w:t>. Por cada unidad adicional en el VAIC, el ROA de un banco es 0.7% mayor</w:t>
      </w:r>
      <w:r w:rsidR="0000485C"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7C22433" w14:textId="5AC969F6" w:rsidR="0000485C" w:rsidRPr="00250C41" w:rsidRDefault="0000485C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En el modelo 2, se observa que el capital humano o HCE tiene un coeficiente altamente significativo de 0.008 (***), el capital físico o CCE de 0.04 (*) y el capital estructural o SCE de 0.0026 (*). Ello significa que un incremento en unidad adicional de cada </w:t>
      </w:r>
      <w:proofErr w:type="gramStart"/>
      <w:r w:rsidRPr="00250C41">
        <w:rPr>
          <w:rFonts w:ascii="Times New Roman" w:hAnsi="Times New Roman" w:cs="Times New Roman"/>
          <w:sz w:val="24"/>
          <w:szCs w:val="24"/>
          <w:lang w:val="es-PE"/>
        </w:rPr>
        <w:t>uno</w:t>
      </w:r>
      <w:proofErr w:type="gramEnd"/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de estas variables generaría un aumento del ROA de la empresa bancaria de 0.8%, 0.26% y 4%, respectivamente</w:t>
      </w:r>
      <w:r w:rsid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3D48198C" w14:textId="7E7379E3" w:rsidR="0000485C" w:rsidRDefault="0000485C" w:rsidP="0000485C">
      <w:pPr>
        <w:pStyle w:val="Ttulo2"/>
        <w:rPr>
          <w:lang w:val="es-PE"/>
        </w:rPr>
      </w:pPr>
      <w:r>
        <w:rPr>
          <w:lang w:val="es-PE"/>
        </w:rPr>
        <w:t>Financieras</w:t>
      </w:r>
    </w:p>
    <w:tbl>
      <w:tblPr>
        <w:tblW w:w="481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00485C" w:rsidRPr="0000485C" w14:paraId="24926416" w14:textId="77777777" w:rsidTr="003257D2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172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E7562" w14:textId="376FB4BA" w:rsidR="0000485C" w:rsidRPr="0000485C" w:rsidRDefault="00357290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033F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B6F23" w14:textId="52A58682" w:rsidR="0000485C" w:rsidRPr="0000485C" w:rsidRDefault="00357290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773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1D063210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5C50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02502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0.0099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7D3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794DF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013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68404721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4132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0C32D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6F0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C965F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0.0141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75C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5E8D863C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B62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99EA1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0.0091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63A0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5C27F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660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546865AB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A37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29C6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715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E07C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D2A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043BF930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42A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6482C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9B7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427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-0.0055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342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0E024B2A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4B1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4114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014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4C506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0.1088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49AD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00485C" w:rsidRPr="0000485C" w14:paraId="0AB3751E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518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604D3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-0.0166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049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205E1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-0.0352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528B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***</w:t>
            </w:r>
          </w:p>
        </w:tc>
      </w:tr>
      <w:tr w:rsidR="0000485C" w:rsidRPr="0000485C" w14:paraId="69516200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B27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BD1A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4C8F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FA0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47A6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257D2" w:rsidRPr="0000485C" w14:paraId="7A2B570E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6F6B" w14:textId="40E9CFCE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global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C04825" w14:textId="647CD24A" w:rsidR="003257D2" w:rsidRPr="0000485C" w:rsidRDefault="003257D2" w:rsidP="00325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0.3996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C78F9" w14:textId="77777777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D9D7E1" w14:textId="0F63AE50" w:rsidR="003257D2" w:rsidRPr="0000485C" w:rsidRDefault="003257D2" w:rsidP="00325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0.2191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B8A0A" w14:textId="77777777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257D2" w:rsidRPr="0000485C" w14:paraId="7F67A276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52A53" w14:textId="5CE9F5ED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C58566" w14:textId="3FE22E8B" w:rsidR="003257D2" w:rsidRPr="0000485C" w:rsidRDefault="003257D2" w:rsidP="00325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0.0123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B6C53" w14:textId="77777777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9796ED" w14:textId="5BFBE907" w:rsidR="003257D2" w:rsidRPr="0000485C" w:rsidRDefault="003257D2" w:rsidP="00325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0.0280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D5CB" w14:textId="77777777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257D2" w:rsidRPr="0000485C" w14:paraId="55DF8E8C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BEF8F" w14:textId="641ACE41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B1FDF1" w14:textId="5EEC7F64" w:rsidR="003257D2" w:rsidRPr="0000485C" w:rsidRDefault="003257D2" w:rsidP="00325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0.0143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7DAD9" w14:textId="77777777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437793" w14:textId="3960B604" w:rsidR="003257D2" w:rsidRPr="0000485C" w:rsidRDefault="003257D2" w:rsidP="00325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0.0083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EF37C" w14:textId="77777777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257D2" w:rsidRPr="0000485C" w14:paraId="649C21DA" w14:textId="77777777" w:rsidTr="003257D2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A2206" w14:textId="6878DEAB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kern w:val="0"/>
                    <w14:ligatures w14:val="none"/>
                  </w:rPr>
                  <m:t>ρ</m:t>
                </m:r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0815F9" w14:textId="622E3147" w:rsidR="003257D2" w:rsidRPr="0000485C" w:rsidRDefault="003257D2" w:rsidP="00325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0.4243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FCA79" w14:textId="77777777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4755B5" w14:textId="0BFE9857" w:rsidR="003257D2" w:rsidRPr="0000485C" w:rsidRDefault="003257D2" w:rsidP="00325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0.9195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FBAC1" w14:textId="77777777" w:rsidR="003257D2" w:rsidRPr="0000485C" w:rsidRDefault="003257D2" w:rsidP="00325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2945857F" w14:textId="77777777" w:rsidR="00E32B76" w:rsidRDefault="00135FB8" w:rsidP="00135FB8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Se tiene un total de </w:t>
      </w:r>
      <w:r>
        <w:rPr>
          <w:rFonts w:ascii="Times New Roman" w:hAnsi="Times New Roman" w:cs="Times New Roman"/>
          <w:sz w:val="24"/>
          <w:szCs w:val="24"/>
          <w:lang w:val="es-PE"/>
        </w:rPr>
        <w:t>40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observaciones correspondiente 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8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>financieras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durante un periodo de 5 años. En el modelo 1 se aplica un modelo de efectos aleatorios y en el modelo 2 uno de efectos fijos. </w:t>
      </w:r>
      <w:r>
        <w:rPr>
          <w:rFonts w:ascii="Times New Roman" w:hAnsi="Times New Roman" w:cs="Times New Roman"/>
          <w:sz w:val="24"/>
          <w:szCs w:val="24"/>
          <w:lang w:val="es-PE"/>
        </w:rPr>
        <w:t>No se aplican errores autorregresivos, solo errores estándares robustos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</w:p>
    <w:p w14:paraId="273D7A61" w14:textId="77777777" w:rsidR="00E32B76" w:rsidRDefault="00135FB8" w:rsidP="00135FB8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El R2 del modelo 1 indica que las variables independientes explican un 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>39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% de la variabilidad de la dependiente, mientras que en el caso del modelo 2, estas explican un 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>21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% de la misma. 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>El R2 es más bajo en el modelo 2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. La varianza entre 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>empresas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u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s-PE"/>
        </w:rPr>
        <w:t xml:space="preserve">) es 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>ligeramente mayor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el modelo 2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 xml:space="preserve">. Este modelo </w:t>
      </w:r>
      <w:r>
        <w:rPr>
          <w:rFonts w:ascii="Times New Roman" w:hAnsi="Times New Roman" w:cs="Times New Roman"/>
          <w:sz w:val="24"/>
          <w:szCs w:val="24"/>
          <w:lang w:val="es-PE"/>
        </w:rPr>
        <w:t>también tiene un menor error idiosincrático (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e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s-PE"/>
        </w:rPr>
        <w:t>),</w:t>
      </w:r>
      <w:r w:rsidRPr="00246BB0">
        <w:rPr>
          <w:rFonts w:ascii="Times New Roman" w:hAnsi="Times New Roman" w:cs="Times New Roman"/>
          <w:sz w:val="24"/>
          <w:szCs w:val="24"/>
          <w:lang w:val="es-PE"/>
        </w:rPr>
        <w:t xml:space="preserve"> lo que indica que sus predicciones dentro de cada empresa son más precisas.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14:paraId="6E4E5D1F" w14:textId="7279018D" w:rsidR="00135FB8" w:rsidRDefault="00135FB8" w:rsidP="00135FB8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Finalmente, 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>el 91% de la variabilidad del ROA</w:t>
      </w:r>
      <w:r w:rsidRPr="002A79A2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s-PE"/>
          </w:rPr>
          <m:t>ρ</m:t>
        </m:r>
      </m:oMath>
      <w:r>
        <w:rPr>
          <w:rFonts w:ascii="Times New Roman" w:hAnsi="Times New Roman" w:cs="Times New Roman"/>
          <w:sz w:val="24"/>
          <w:szCs w:val="24"/>
          <w:lang w:val="es-PE"/>
        </w:rPr>
        <w:t xml:space="preserve">) es 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 xml:space="preserve">explicada por </w:t>
      </w:r>
      <w:r w:rsidR="00E32B76" w:rsidRPr="002A79A2">
        <w:rPr>
          <w:rFonts w:ascii="Times New Roman" w:hAnsi="Times New Roman" w:cs="Times New Roman"/>
          <w:sz w:val="24"/>
          <w:szCs w:val="24"/>
          <w:lang w:val="es-PE"/>
        </w:rPr>
        <w:t xml:space="preserve">las diferencias entre 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>empresas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>para el modelo 2.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Este modelo capta mejor las diferencias entre l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>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s 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>financieras</w:t>
      </w:r>
      <w:r>
        <w:rPr>
          <w:rFonts w:ascii="Times New Roman" w:hAnsi="Times New Roman" w:cs="Times New Roman"/>
          <w:sz w:val="24"/>
          <w:szCs w:val="24"/>
          <w:lang w:val="es-PE"/>
        </w:rPr>
        <w:t>.</w:t>
      </w:r>
      <w:r w:rsidR="00E32B76">
        <w:rPr>
          <w:rFonts w:ascii="Times New Roman" w:hAnsi="Times New Roman" w:cs="Times New Roman"/>
          <w:sz w:val="24"/>
          <w:szCs w:val="24"/>
          <w:lang w:val="es-PE"/>
        </w:rPr>
        <w:t xml:space="preserve"> En el modelo 1, el 42% de la variabilidad del ROA es explicada por las diferencias entre empresas.</w:t>
      </w:r>
    </w:p>
    <w:p w14:paraId="700DD795" w14:textId="75309BDB" w:rsidR="0000485C" w:rsidRPr="00250C41" w:rsidRDefault="00090096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lastRenderedPageBreak/>
        <w:t>Aquí igualmente s</w:t>
      </w:r>
      <w:r w:rsidR="0000485C" w:rsidRPr="00250C41">
        <w:rPr>
          <w:rFonts w:ascii="Times New Roman" w:hAnsi="Times New Roman" w:cs="Times New Roman"/>
          <w:sz w:val="24"/>
          <w:szCs w:val="24"/>
          <w:lang w:val="es-PE"/>
        </w:rPr>
        <w:t>e observa que el modelo 1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que</w:t>
      </w:r>
      <w:r w:rsidR="0000485C"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el VAIC resulta estadísticamente significativo en su impacto al ROA, aunque este es muy bajo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PE"/>
          </w:rPr>
          <m:t>(0.0099***)</m:t>
        </m:r>
      </m:oMath>
      <w:r w:rsidR="0000485C" w:rsidRPr="00250C41">
        <w:rPr>
          <w:rFonts w:ascii="Times New Roman" w:hAnsi="Times New Roman" w:cs="Times New Roman"/>
          <w:sz w:val="24"/>
          <w:szCs w:val="24"/>
          <w:lang w:val="es-PE"/>
        </w:rPr>
        <w:t>. Por cada unidad adicional en el VAIC, el ROA de un banco es 0.9% mayor.</w:t>
      </w:r>
    </w:p>
    <w:p w14:paraId="1D22EA40" w14:textId="5DDAA690" w:rsidR="0000485C" w:rsidRPr="00250C41" w:rsidRDefault="0000485C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Por otro lado, en el modelo 2, observamos únicamente que el capital físico es estadísticamente significativo, con un coeficiente de 0.1088 (***). Ello significa que un aumento de una unidad en el capital físico para empresas financieras genera un incremento del TOA del 10.88%</w:t>
      </w:r>
    </w:p>
    <w:p w14:paraId="4DCBD040" w14:textId="577EAD4C" w:rsidR="0000485C" w:rsidRDefault="0000485C" w:rsidP="0000485C">
      <w:pPr>
        <w:pStyle w:val="Ttulo2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Cajas</w:t>
      </w:r>
    </w:p>
    <w:tbl>
      <w:tblPr>
        <w:tblW w:w="481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9B12AA" w:rsidRPr="009B12AA" w14:paraId="34AA9FDE" w14:textId="77777777" w:rsidTr="00E32B76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A80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B3483" w14:textId="56D39C8E" w:rsidR="009B12AA" w:rsidRPr="009B12AA" w:rsidRDefault="00357290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7E3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93BA2" w14:textId="66A8ECD5" w:rsidR="009B12AA" w:rsidRPr="009B12AA" w:rsidRDefault="00357290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710C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34B0303F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E9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E2F20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0.0134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BF4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113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E16F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73A76AF7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C15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037DE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-0.0067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E14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EC31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-0.0076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9F05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64F09F9C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722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B15B6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D55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257F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707E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55F548AD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1E0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4E4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D44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C7F2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-0.0141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19C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19F15BFC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FD1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68EC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501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C8BF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0.0746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833C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34FA6FC3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8C1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53B6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B6BA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5EA4A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0.0317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083A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034B0A84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6BC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86B6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59A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4886C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78A4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2D2BB873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22BF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ED7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537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7571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4F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E32B76" w:rsidRPr="009B12AA" w14:paraId="0960DF39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6298" w14:textId="425B11B2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perscript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global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1F2807" w14:textId="6977CC16" w:rsidR="00E32B76" w:rsidRPr="009B12AA" w:rsidRDefault="00E02A2F" w:rsidP="00E32B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2A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0.7134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F60F9" w14:textId="77777777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47EE6C" w14:textId="43FE4AD1" w:rsidR="00E32B76" w:rsidRPr="009B12AA" w:rsidRDefault="00E02A2F" w:rsidP="00E32B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2A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28764" w14:textId="77777777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E32B76" w:rsidRPr="009B12AA" w14:paraId="6533B428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A8BF6" w14:textId="2772B8FD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D8068E" w14:textId="484B75F6" w:rsidR="00E32B76" w:rsidRPr="009B12AA" w:rsidRDefault="00E02A2F" w:rsidP="00E32B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2A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0332D" w14:textId="77777777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382B07" w14:textId="2615E7DC" w:rsidR="00E32B76" w:rsidRPr="009B12AA" w:rsidRDefault="00E02A2F" w:rsidP="00E32B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2A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771BF" w14:textId="77777777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E32B76" w:rsidRPr="009B12AA" w14:paraId="48D3B7A3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D6578" w14:textId="35B273B8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0A6AEF" w14:textId="53A2BDB7" w:rsidR="00E32B76" w:rsidRPr="009B12AA" w:rsidRDefault="00E02A2F" w:rsidP="00E32B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2A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0.0034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53175" w14:textId="77777777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373F27" w14:textId="058F66FF" w:rsidR="00E32B76" w:rsidRPr="009B12AA" w:rsidRDefault="00E02A2F" w:rsidP="00E32B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2A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E9981" w14:textId="77777777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E32B76" w:rsidRPr="009B12AA" w14:paraId="02DF5450" w14:textId="77777777" w:rsidTr="00E32B7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A2B0" w14:textId="6197F294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kern w:val="0"/>
                    <w14:ligatures w14:val="none"/>
                  </w:rPr>
                  <m:t>ρ</m:t>
                </m:r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1A11FA" w14:textId="42F818F8" w:rsidR="00E32B76" w:rsidRPr="009B12AA" w:rsidRDefault="00E02A2F" w:rsidP="00E32B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2A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8E11" w14:textId="77777777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C711BF" w14:textId="792FA9EE" w:rsidR="00E32B76" w:rsidRPr="009B12AA" w:rsidRDefault="00E02A2F" w:rsidP="00E32B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02A2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0919E" w14:textId="77777777" w:rsidR="00E32B76" w:rsidRPr="009B12AA" w:rsidRDefault="00E32B76" w:rsidP="00E3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6D0F9F72" w14:textId="4C6464C4" w:rsidR="00E32B76" w:rsidRDefault="00E32B76" w:rsidP="00E32B76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 xml:space="preserve">Se tiene un total de </w:t>
      </w:r>
      <w:r>
        <w:rPr>
          <w:rFonts w:ascii="Times New Roman" w:hAnsi="Times New Roman" w:cs="Times New Roman"/>
          <w:sz w:val="24"/>
          <w:szCs w:val="24"/>
          <w:lang w:val="es-PE"/>
        </w:rPr>
        <w:t>15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observaciones correspondiente a </w:t>
      </w:r>
      <w:r>
        <w:rPr>
          <w:rFonts w:ascii="Times New Roman" w:hAnsi="Times New Roman" w:cs="Times New Roman"/>
          <w:sz w:val="24"/>
          <w:szCs w:val="24"/>
          <w:lang w:val="es-PE"/>
        </w:rPr>
        <w:t>3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>cajas municipales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durante un periodo de 5 años. </w:t>
      </w:r>
      <w:r>
        <w:rPr>
          <w:rFonts w:ascii="Times New Roman" w:hAnsi="Times New Roman" w:cs="Times New Roman"/>
          <w:sz w:val="24"/>
          <w:szCs w:val="24"/>
          <w:lang w:val="es-PE"/>
        </w:rPr>
        <w:t>Tanto en el modelo 1 como en el modelo 2 se aplica un modelo de efectos aleatorios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. No se aplican errores autorregresivos, solo errores estándares robustos. </w:t>
      </w:r>
    </w:p>
    <w:p w14:paraId="739B63FE" w14:textId="5B01F3B1" w:rsidR="00E32B76" w:rsidRDefault="00E02A2F" w:rsidP="00E32B76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En el modelo 1 el R2 indica que las variables dependientes explican un 71% de la varianza del ROA. En el modelo 2, esta explicación sube a 95%. Por tanto, el modelo 2 tiene un mejor ajuste global.</w:t>
      </w:r>
    </w:p>
    <w:p w14:paraId="76A6A334" w14:textId="1BABC027" w:rsidR="00E02A2F" w:rsidRDefault="00E02A2F" w:rsidP="00E02A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E02A2F">
        <w:rPr>
          <w:rFonts w:ascii="Times New Roman" w:hAnsi="Times New Roman" w:cs="Times New Roman"/>
          <w:sz w:val="24"/>
          <w:szCs w:val="24"/>
          <w:lang w:val="es-PE"/>
        </w:rPr>
        <w:t>No hay varianza entre empresas en ninguno de los modelos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u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s-PE"/>
        </w:rPr>
        <w:t>)</w:t>
      </w:r>
      <w:r w:rsidRPr="00E02A2F">
        <w:rPr>
          <w:rFonts w:ascii="Times New Roman" w:hAnsi="Times New Roman" w:cs="Times New Roman"/>
          <w:sz w:val="24"/>
          <w:szCs w:val="24"/>
          <w:lang w:val="es-PE"/>
        </w:rPr>
        <w:t>. Esto sugiere que no hay diferencias estructurales entre firmas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. Asimismo, el modelo 2 </w:t>
      </w:r>
      <w:r w:rsidRPr="00E02A2F">
        <w:rPr>
          <w:rFonts w:ascii="Times New Roman" w:hAnsi="Times New Roman" w:cs="Times New Roman"/>
          <w:sz w:val="24"/>
          <w:szCs w:val="24"/>
          <w:lang w:val="es-PE"/>
        </w:rPr>
        <w:t>tiene menor error idiosincrático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m:t>e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s-PE"/>
        </w:rPr>
        <w:t>)</w:t>
      </w:r>
      <w:r w:rsidRPr="00E02A2F">
        <w:rPr>
          <w:rFonts w:ascii="Times New Roman" w:hAnsi="Times New Roman" w:cs="Times New Roman"/>
          <w:sz w:val="24"/>
          <w:szCs w:val="24"/>
          <w:lang w:val="es-PE"/>
        </w:rPr>
        <w:t>, lo que sugiere que se ajusta mejor a nivel de empresa.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E02A2F">
        <w:rPr>
          <w:rFonts w:ascii="Times New Roman" w:hAnsi="Times New Roman" w:cs="Times New Roman"/>
          <w:sz w:val="24"/>
          <w:szCs w:val="24"/>
          <w:lang w:val="es-PE"/>
        </w:rPr>
        <w:t>La varianza entre empresas es nula en ambos modelos, indicando que todas las diferencias en ROA provienen de variaciones dentro de cada empresa en el tiempo.</w:t>
      </w:r>
    </w:p>
    <w:p w14:paraId="183106F3" w14:textId="77777777" w:rsidR="00E02A2F" w:rsidRPr="00E02A2F" w:rsidRDefault="00E02A2F" w:rsidP="00E02A2F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s-PE"/>
          <w14:ligatures w14:val="none"/>
        </w:rPr>
      </w:pPr>
    </w:p>
    <w:p w14:paraId="78CA4BA7" w14:textId="35EAAE07" w:rsidR="00090096" w:rsidRPr="00250C41" w:rsidRDefault="00090096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El valor agregado del capital intelectual resulta estadísticamente significativo en su impacto al ROA, y este valor es algo mayor a los anteriores, aunque igual bajo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PE"/>
          </w:rPr>
          <m:t>(0.0134***)</m:t>
        </m:r>
      </m:oMath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Por cada </w:t>
      </w:r>
      <w:r w:rsidR="00E02A2F">
        <w:rPr>
          <w:rFonts w:ascii="Times New Roman" w:hAnsi="Times New Roman" w:cs="Times New Roman"/>
          <w:sz w:val="24"/>
          <w:szCs w:val="24"/>
          <w:lang w:val="es-PE"/>
        </w:rPr>
        <w:t>aumenta en una unidad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adicional en el VAIC, el ROA de un banco </w:t>
      </w:r>
      <w:r w:rsidR="00E02A2F">
        <w:rPr>
          <w:rFonts w:ascii="Times New Roman" w:hAnsi="Times New Roman" w:cs="Times New Roman"/>
          <w:sz w:val="24"/>
          <w:szCs w:val="24"/>
          <w:lang w:val="es-PE"/>
        </w:rPr>
        <w:t>incrementa en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1.</w:t>
      </w:r>
      <w:r w:rsidR="009B12AA" w:rsidRPr="00250C41">
        <w:rPr>
          <w:rFonts w:ascii="Times New Roman" w:hAnsi="Times New Roman" w:cs="Times New Roman"/>
          <w:sz w:val="24"/>
          <w:szCs w:val="24"/>
          <w:lang w:val="es-PE"/>
        </w:rPr>
        <w:t>34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%.</w:t>
      </w:r>
      <w:r w:rsidR="00250FE2"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Además, el tamaño</w:t>
      </w:r>
      <w:r w:rsidR="00E02A2F">
        <w:rPr>
          <w:rFonts w:ascii="Times New Roman" w:hAnsi="Times New Roman" w:cs="Times New Roman"/>
          <w:sz w:val="24"/>
          <w:szCs w:val="24"/>
          <w:lang w:val="es-PE"/>
        </w:rPr>
        <w:t xml:space="preserve"> de la empresa (SIZE)</w:t>
      </w:r>
      <w:r w:rsidR="00250FE2"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es significativo y negativo, con un efecto leve sobre el ROA. Por cada unidad de aumento de la variable, el ROA cae 0.67%.</w:t>
      </w:r>
      <w:r w:rsidR="00E02A2F">
        <w:rPr>
          <w:rFonts w:ascii="Times New Roman" w:hAnsi="Times New Roman" w:cs="Times New Roman"/>
          <w:sz w:val="24"/>
          <w:szCs w:val="24"/>
          <w:lang w:val="es-PE"/>
        </w:rPr>
        <w:t xml:space="preserve"> La deuda (DEBT) no es significativa.</w:t>
      </w:r>
    </w:p>
    <w:p w14:paraId="66BAEA98" w14:textId="2BC6BCAF" w:rsidR="00250C41" w:rsidRPr="00250C41" w:rsidRDefault="00090096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En el modelo 2 el capital físico o CCE es estadísticamente significativo con un coeficiente de 0</w:t>
      </w:r>
      <w:r w:rsidR="008B18BD" w:rsidRPr="00250C41">
        <w:rPr>
          <w:rFonts w:ascii="Times New Roman" w:hAnsi="Times New Roman" w:cs="Times New Roman"/>
          <w:sz w:val="24"/>
          <w:szCs w:val="24"/>
          <w:lang w:val="es-PE"/>
        </w:rPr>
        <w:t>.0317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 (***). Así, un aumento en una unidad del CEE significa un ROA 3.</w:t>
      </w:r>
      <w:r w:rsidR="008B18BD" w:rsidRPr="00250C41">
        <w:rPr>
          <w:rFonts w:ascii="Times New Roman" w:hAnsi="Times New Roman" w:cs="Times New Roman"/>
          <w:sz w:val="24"/>
          <w:szCs w:val="24"/>
          <w:lang w:val="es-PE"/>
        </w:rPr>
        <w:t>1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7% mayor. 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lastRenderedPageBreak/>
        <w:t xml:space="preserve">Asimismo, la variable de tamaño es estadísticamente significativa, aunque impacta negativamente a la caja (-0.0076 ***). Ello implica que un aumento en una unidad de esta variable reduce el ROA de la caja municipal en 0.76%. </w:t>
      </w:r>
    </w:p>
    <w:p w14:paraId="206F1D43" w14:textId="235A4E14" w:rsidR="00250C41" w:rsidRDefault="00250C41" w:rsidP="00250C41">
      <w:pPr>
        <w:pStyle w:val="Ttulo1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Hipótesis e interpretación de resultados</w:t>
      </w:r>
    </w:p>
    <w:p w14:paraId="0384D90C" w14:textId="0CFD5506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Considerando las siguientes hipótesis</w:t>
      </w:r>
    </w:p>
    <w:p w14:paraId="1B3FD04F" w14:textId="5797AB4B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H1.  El VAIC tiene un efecto positivo en la rentabilidad (ROA) de las empresas </w:t>
      </w:r>
      <w:r>
        <w:rPr>
          <w:rFonts w:ascii="Times New Roman" w:hAnsi="Times New Roman" w:cs="Times New Roman"/>
          <w:sz w:val="24"/>
          <w:szCs w:val="24"/>
          <w:lang w:val="es-PE"/>
        </w:rPr>
        <w:t>del sector financiero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19BA4D9A" w14:textId="13F90FF0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H2.  Los componentes del VAIC (HCE, SCE, RCE, y CEE) impactan positivamente en la rentabilidad (ROA) de las empresas </w:t>
      </w:r>
      <w:r>
        <w:rPr>
          <w:rFonts w:ascii="Times New Roman" w:hAnsi="Times New Roman" w:cs="Times New Roman"/>
          <w:sz w:val="24"/>
          <w:szCs w:val="24"/>
          <w:lang w:val="es-PE"/>
        </w:rPr>
        <w:t>del sector financiero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6AB5491C" w14:textId="3C5C5FEE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3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El VAIC tiene un efecto positivo en la rentabilidad (ROA) de </w:t>
      </w:r>
      <w:r>
        <w:rPr>
          <w:rFonts w:ascii="Times New Roman" w:hAnsi="Times New Roman" w:cs="Times New Roman"/>
          <w:sz w:val="24"/>
          <w:szCs w:val="24"/>
          <w:lang w:val="es-PE"/>
        </w:rPr>
        <w:t>los bancos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47C2B726" w14:textId="757662FE" w:rsid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4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Los componentes del VAIC (HCE, SCE, RCE, y CEE) impactan positivamente en la rentabilidad (ROA) de </w:t>
      </w:r>
      <w:r>
        <w:rPr>
          <w:rFonts w:ascii="Times New Roman" w:hAnsi="Times New Roman" w:cs="Times New Roman"/>
          <w:sz w:val="24"/>
          <w:szCs w:val="24"/>
          <w:lang w:val="es-PE"/>
        </w:rPr>
        <w:t>los bancos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7B03358" w14:textId="32536286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5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El VAIC tiene un efecto positivo en la rentabilidad (ROA) de las </w:t>
      </w:r>
      <w:r>
        <w:rPr>
          <w:rFonts w:ascii="Times New Roman" w:hAnsi="Times New Roman" w:cs="Times New Roman"/>
          <w:sz w:val="24"/>
          <w:szCs w:val="24"/>
          <w:lang w:val="es-PE"/>
        </w:rPr>
        <w:t>financieras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DAE6700" w14:textId="3EA0A7FE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6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Los componentes del VAIC (HCE, SCE, RCE, y CEE) impactan positivamente en la rentabilidad (ROA) de las </w:t>
      </w:r>
      <w:r>
        <w:rPr>
          <w:rFonts w:ascii="Times New Roman" w:hAnsi="Times New Roman" w:cs="Times New Roman"/>
          <w:sz w:val="24"/>
          <w:szCs w:val="24"/>
          <w:lang w:val="es-PE"/>
        </w:rPr>
        <w:t>financieras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DDC3EA5" w14:textId="7D65DF3E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7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El VAIC tiene un efecto positivo en la rentabilidad (ROA) de las </w:t>
      </w:r>
      <w:r>
        <w:rPr>
          <w:rFonts w:ascii="Times New Roman" w:hAnsi="Times New Roman" w:cs="Times New Roman"/>
          <w:sz w:val="24"/>
          <w:szCs w:val="24"/>
          <w:lang w:val="es-PE"/>
        </w:rPr>
        <w:t>cajas municipales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55C03AC" w14:textId="65DD0E9E" w:rsid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 w:rsidRPr="00250C41">
        <w:rPr>
          <w:rFonts w:ascii="Times New Roman" w:hAnsi="Times New Roman" w:cs="Times New Roman"/>
          <w:sz w:val="24"/>
          <w:szCs w:val="24"/>
          <w:lang w:val="es-PE"/>
        </w:rPr>
        <w:t>H</w:t>
      </w:r>
      <w:r>
        <w:rPr>
          <w:rFonts w:ascii="Times New Roman" w:hAnsi="Times New Roman" w:cs="Times New Roman"/>
          <w:sz w:val="24"/>
          <w:szCs w:val="24"/>
          <w:lang w:val="es-PE"/>
        </w:rPr>
        <w:t>8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 xml:space="preserve">.  Los componentes del VAIC (HCE, SCE, RCE, y CEE) impactan positivamente en la rentabilidad (ROA) de las </w:t>
      </w:r>
      <w:r>
        <w:rPr>
          <w:rFonts w:ascii="Times New Roman" w:hAnsi="Times New Roman" w:cs="Times New Roman"/>
          <w:sz w:val="24"/>
          <w:szCs w:val="24"/>
          <w:lang w:val="es-PE"/>
        </w:rPr>
        <w:t>cajas municipales</w:t>
      </w:r>
      <w:r w:rsidRPr="00250C4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F698C8B" w14:textId="21D1C516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Podemos verificar a través de nuestros resultados que se cumple H1, H3, H5 y H7. Asimismo, se cumple de manera parcial H2, H4, H6 y H8</w:t>
      </w:r>
    </w:p>
    <w:p w14:paraId="4D6A7250" w14:textId="77777777" w:rsidR="00250C41" w:rsidRPr="00250C41" w:rsidRDefault="00250C41" w:rsidP="00250C41">
      <w:pPr>
        <w:rPr>
          <w:rFonts w:ascii="Times New Roman" w:hAnsi="Times New Roman" w:cs="Times New Roman"/>
          <w:sz w:val="24"/>
          <w:szCs w:val="24"/>
          <w:lang w:val="es-PE"/>
        </w:rPr>
      </w:pPr>
    </w:p>
    <w:p w14:paraId="77577389" w14:textId="57BBE81B" w:rsidR="00E02A2F" w:rsidRDefault="00E02A2F" w:rsidP="00E02A2F">
      <w:pPr>
        <w:pStyle w:val="Ttulo1"/>
        <w:numPr>
          <w:ilvl w:val="0"/>
          <w:numId w:val="1"/>
        </w:numPr>
        <w:rPr>
          <w:lang w:val="es-PE"/>
        </w:rPr>
      </w:pPr>
      <w:r>
        <w:rPr>
          <w:lang w:val="es-PE"/>
        </w:rPr>
        <w:t>Validación de modelos</w:t>
      </w:r>
    </w:p>
    <w:p w14:paraId="3225AEF2" w14:textId="77777777" w:rsidR="00250C41" w:rsidRDefault="00250C41" w:rsidP="00250C41">
      <w:pPr>
        <w:rPr>
          <w:lang w:val="es-PE"/>
        </w:rPr>
      </w:pPr>
    </w:p>
    <w:p w14:paraId="2B50DA5A" w14:textId="77777777" w:rsidR="00E02A2F" w:rsidRPr="00250C41" w:rsidRDefault="00E02A2F" w:rsidP="00250C41">
      <w:pPr>
        <w:rPr>
          <w:lang w:val="es-PE"/>
        </w:rPr>
      </w:pPr>
    </w:p>
    <w:sectPr w:rsidR="00E02A2F" w:rsidRPr="00250C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4370F"/>
    <w:multiLevelType w:val="hybridMultilevel"/>
    <w:tmpl w:val="AA5E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4676A"/>
    <w:multiLevelType w:val="hybridMultilevel"/>
    <w:tmpl w:val="AA5E6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910653">
    <w:abstractNumId w:val="0"/>
  </w:num>
  <w:num w:numId="2" w16cid:durableId="314646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C3"/>
    <w:rsid w:val="0000485C"/>
    <w:rsid w:val="00090096"/>
    <w:rsid w:val="00135FB8"/>
    <w:rsid w:val="001408B3"/>
    <w:rsid w:val="001C70C3"/>
    <w:rsid w:val="00226E02"/>
    <w:rsid w:val="00246BB0"/>
    <w:rsid w:val="00250C41"/>
    <w:rsid w:val="00250FE2"/>
    <w:rsid w:val="00287841"/>
    <w:rsid w:val="002A79A2"/>
    <w:rsid w:val="002F0142"/>
    <w:rsid w:val="00312F0B"/>
    <w:rsid w:val="003257D2"/>
    <w:rsid w:val="00357290"/>
    <w:rsid w:val="003A0E0B"/>
    <w:rsid w:val="00440361"/>
    <w:rsid w:val="005E361A"/>
    <w:rsid w:val="00727971"/>
    <w:rsid w:val="008B18BD"/>
    <w:rsid w:val="009B12AA"/>
    <w:rsid w:val="009B3B9D"/>
    <w:rsid w:val="00B92A7B"/>
    <w:rsid w:val="00E02A2F"/>
    <w:rsid w:val="00E32B76"/>
    <w:rsid w:val="00E8555B"/>
    <w:rsid w:val="00EA0ACE"/>
    <w:rsid w:val="00F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85A1"/>
  <w15:chartTrackingRefBased/>
  <w15:docId w15:val="{F1126236-D2BE-4A4C-9039-5D57644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0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A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A0A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Cabrera Bonilla</dc:creator>
  <cp:keywords/>
  <dc:description/>
  <cp:lastModifiedBy>Esteban Cabrera Bonilla</cp:lastModifiedBy>
  <cp:revision>8</cp:revision>
  <dcterms:created xsi:type="dcterms:W3CDTF">2025-01-05T19:06:00Z</dcterms:created>
  <dcterms:modified xsi:type="dcterms:W3CDTF">2025-02-15T18:30:00Z</dcterms:modified>
</cp:coreProperties>
</file>