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both"/>
        <w:rPr>
          <w:sz w:val="26"/>
          <w:szCs w:val="26"/>
        </w:rPr>
      </w:pPr>
      <w:r w:rsidDel="00000000" w:rsidR="00000000" w:rsidRPr="00000000">
        <w:rPr>
          <w:sz w:val="26"/>
          <w:szCs w:val="26"/>
          <w:rtl w:val="0"/>
        </w:rPr>
        <w:t xml:space="preserve">Se desea modelar el funcionamiento de una biblioteca municipal, la cual consta de tres plantas, de las que necesitamos saber la capacidad de sus estanterías (es decir, el número de libros que pueden albergar) para así realizar las reordenaciones oportunas cuando se reciben nuevos ejemplares. Los libros se organizan según la temática: libros infantiles, narrativa, ensayo, poesía, etc. Para ello, se deben registrar los libros que se encuentran en la biblioteca, teniendo en cuenta que puede haber más de un ejemplar de cada libro. Cada libro contará al menos con un identificador único, una fecha de préstamo y otra de entrega. El préstamo máximo será de 30 días. Los lectores que no entreguen el libro a tiempo tendrán penalización. Para aplicar esa penalización, la biblioteca cuenta con una ficha por cada lector, con su número de identificación o pasaporte, su nombre y su dirección postal. Para fomentar la lectura, los empleados de la biblioteca, que poseen su propia identificación como tales, pueden llevar libros a casa por un plazo mayor que los usuarios convencionales. Crea el modelo de clases correspondiente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