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39F4" w14:textId="77777777" w:rsidR="00C307E5" w:rsidRPr="00C307E5" w:rsidRDefault="00C307E5" w:rsidP="00C307E5">
      <w:pPr>
        <w:rPr>
          <w:b/>
          <w:bCs/>
          <w:lang w:val="en-GB"/>
        </w:rPr>
      </w:pPr>
      <w:r w:rsidRPr="00C307E5">
        <w:rPr>
          <w:b/>
          <w:bCs/>
          <w:lang w:val="en-GB"/>
        </w:rPr>
        <w:t>Scope Helper – Bitcoin Predictor Project</w:t>
      </w:r>
    </w:p>
    <w:p w14:paraId="4E4E240D" w14:textId="77777777" w:rsidR="00C307E5" w:rsidRPr="00C307E5" w:rsidRDefault="00C307E5" w:rsidP="00C307E5">
      <w:pPr>
        <w:rPr>
          <w:lang w:val="en-GB"/>
        </w:rPr>
      </w:pPr>
      <w:r w:rsidRPr="00C307E5">
        <w:rPr>
          <w:lang w:val="en-GB"/>
        </w:rPr>
        <w:t>Author : Badr TAJINI - Big Data Analytics - ESIEE 2025-2026</w:t>
      </w:r>
    </w:p>
    <w:p w14:paraId="26C9DB78" w14:textId="77777777" w:rsidR="00C307E5" w:rsidRPr="00C307E5" w:rsidRDefault="00C307E5" w:rsidP="00C307E5">
      <w:pPr>
        <w:rPr>
          <w:lang w:val="en-GB"/>
        </w:rPr>
      </w:pPr>
      <w:r w:rsidRPr="00C307E5">
        <w:rPr>
          <w:lang w:val="en-GB"/>
        </w:rPr>
        <w:t>Note: This document helps clarify the scope of the Bitcoin price predictor project. It breaks down the requirements, explains why the scope is broader than it may initially appear, and provides real-world analogies to illustrate each component.</w:t>
      </w:r>
    </w:p>
    <w:p w14:paraId="28F54EC8" w14:textId="77777777" w:rsidR="00C307E5" w:rsidRPr="00C307E5" w:rsidRDefault="00C307E5" w:rsidP="00C307E5">
      <w:pPr>
        <w:rPr>
          <w:b/>
          <w:bCs/>
          <w:lang w:val="en-GB"/>
        </w:rPr>
      </w:pPr>
      <w:r w:rsidRPr="00C307E5">
        <w:rPr>
          <w:b/>
          <w:bCs/>
          <w:lang w:val="en-GB"/>
        </w:rPr>
        <w:t>Why the scope is bigger than it looks</w:t>
      </w:r>
    </w:p>
    <w:p w14:paraId="65DC0D5F" w14:textId="77777777" w:rsidR="00C307E5" w:rsidRPr="00C307E5" w:rsidRDefault="00C307E5" w:rsidP="00C307E5">
      <w:pPr>
        <w:rPr>
          <w:lang w:val="en-GB"/>
        </w:rPr>
      </w:pPr>
      <w:r w:rsidRPr="00C307E5">
        <w:rPr>
          <w:lang w:val="en-GB"/>
        </w:rPr>
        <w:t>This project is not “just” running a regression on prices. We combine </w:t>
      </w:r>
      <w:r w:rsidRPr="00C307E5">
        <w:rPr>
          <w:b/>
          <w:bCs/>
          <w:lang w:val="en-GB"/>
        </w:rPr>
        <w:t>two raw data streams</w:t>
      </w:r>
      <w:r w:rsidRPr="00C307E5">
        <w:rPr>
          <w:lang w:val="en-GB"/>
        </w:rPr>
        <w:t>:</w:t>
      </w:r>
    </w:p>
    <w:p w14:paraId="45F9D0A0" w14:textId="77777777" w:rsidR="00C307E5" w:rsidRPr="00C307E5" w:rsidRDefault="00C307E5" w:rsidP="00C307E5">
      <w:pPr>
        <w:numPr>
          <w:ilvl w:val="0"/>
          <w:numId w:val="1"/>
        </w:numPr>
        <w:rPr>
          <w:lang w:val="en-GB"/>
        </w:rPr>
      </w:pPr>
      <w:r w:rsidRPr="00C307E5">
        <w:rPr>
          <w:b/>
          <w:bCs/>
          <w:lang w:val="en-GB"/>
        </w:rPr>
        <w:t>Blockchain blocks</w:t>
      </w:r>
      <w:r w:rsidRPr="00C307E5">
        <w:rPr>
          <w:lang w:val="en-GB"/>
        </w:rPr>
        <w:t> (blk*.dat from Bitcoin Core in prune mode) → decode into full transaction tables.</w:t>
      </w:r>
    </w:p>
    <w:p w14:paraId="1BC55F2C" w14:textId="77777777" w:rsidR="00C307E5" w:rsidRPr="00C307E5" w:rsidRDefault="00C307E5" w:rsidP="00C307E5">
      <w:pPr>
        <w:numPr>
          <w:ilvl w:val="0"/>
          <w:numId w:val="1"/>
        </w:numPr>
        <w:rPr>
          <w:lang w:val="en-GB"/>
        </w:rPr>
      </w:pPr>
      <w:r w:rsidRPr="00C307E5">
        <w:rPr>
          <w:b/>
          <w:bCs/>
          <w:lang w:val="en-GB"/>
        </w:rPr>
        <w:t>Market price history</w:t>
      </w:r>
      <w:r w:rsidRPr="00C307E5">
        <w:rPr>
          <w:lang w:val="en-GB"/>
        </w:rPr>
        <w:t> (Kaggle BTC candles) → labels/features for supervised learning.</w:t>
      </w:r>
    </w:p>
    <w:p w14:paraId="7DE0D4AD" w14:textId="77777777" w:rsidR="00C307E5" w:rsidRPr="00C307E5" w:rsidRDefault="00C307E5" w:rsidP="00C307E5">
      <w:pPr>
        <w:rPr>
          <w:lang w:val="en-GB"/>
        </w:rPr>
      </w:pPr>
      <w:r w:rsidRPr="00C307E5">
        <w:rPr>
          <w:lang w:val="en-GB"/>
        </w:rPr>
        <w:t>The brief intentionally compresses this into a single sentence: “Acquire recent Bitcoin data </w:t>
      </w:r>
      <w:r w:rsidRPr="00C307E5">
        <w:rPr>
          <w:b/>
          <w:bCs/>
          <w:lang w:val="en-GB"/>
        </w:rPr>
        <w:t>(raw blocks or faithful derived dump)</w:t>
      </w:r>
      <w:r w:rsidRPr="00C307E5">
        <w:rPr>
          <w:lang w:val="en-GB"/>
        </w:rPr>
        <w:t> + </w:t>
      </w:r>
      <w:r w:rsidRPr="00C307E5">
        <w:rPr>
          <w:b/>
          <w:bCs/>
          <w:lang w:val="en-GB"/>
        </w:rPr>
        <w:t>market traces</w:t>
      </w:r>
      <w:r w:rsidRPr="00C307E5">
        <w:rPr>
          <w:lang w:val="en-GB"/>
        </w:rPr>
        <w:t>”; but unpacking it reveals several hard requirements:</w:t>
      </w:r>
    </w:p>
    <w:p w14:paraId="354BEBCE" w14:textId="77777777" w:rsidR="00C307E5" w:rsidRPr="00C307E5" w:rsidRDefault="00C307E5" w:rsidP="00C307E5">
      <w:pPr>
        <w:numPr>
          <w:ilvl w:val="0"/>
          <w:numId w:val="2"/>
        </w:numPr>
        <w:rPr>
          <w:lang w:val="en-GB"/>
        </w:rPr>
      </w:pPr>
      <w:r w:rsidRPr="00C307E5">
        <w:rPr>
          <w:b/>
          <w:bCs/>
          <w:lang w:val="en-GB"/>
        </w:rPr>
        <w:t>Two complementary datasets.</w:t>
      </w:r>
      <w:r w:rsidRPr="00C307E5">
        <w:rPr>
          <w:lang w:val="en-GB"/>
        </w:rPr>
        <w:t> Raw blk*.dat (or a trusted derivative) delivers the full transaction graph; Kaggle candles supply market labels/features. You need both to ground the predictor in on-chain behavior.</w:t>
      </w:r>
    </w:p>
    <w:p w14:paraId="3CA21A86" w14:textId="77777777" w:rsidR="00C307E5" w:rsidRPr="00C307E5" w:rsidRDefault="00C307E5" w:rsidP="00C307E5">
      <w:pPr>
        <w:numPr>
          <w:ilvl w:val="0"/>
          <w:numId w:val="2"/>
        </w:numPr>
        <w:rPr>
          <w:lang w:val="en-GB"/>
        </w:rPr>
      </w:pPr>
      <w:r w:rsidRPr="00C307E5">
        <w:rPr>
          <w:b/>
          <w:bCs/>
          <w:lang w:val="en-GB"/>
        </w:rPr>
        <w:t>Non-trivial ETL.</w:t>
      </w:r>
      <w:r w:rsidRPr="00C307E5">
        <w:rPr>
          <w:lang w:val="en-GB"/>
        </w:rPr>
        <w:t> Raw blocks must be decoded into Spark tables (transactions, addresses, flows) before feature engineering even starts and this, by far tougher than loading CSVs.</w:t>
      </w:r>
    </w:p>
    <w:p w14:paraId="31E0549B" w14:textId="77777777" w:rsidR="00C307E5" w:rsidRPr="00C307E5" w:rsidRDefault="00C307E5" w:rsidP="00C307E5">
      <w:pPr>
        <w:numPr>
          <w:ilvl w:val="0"/>
          <w:numId w:val="2"/>
        </w:numPr>
        <w:rPr>
          <w:lang w:val="en-GB"/>
        </w:rPr>
      </w:pPr>
      <w:r w:rsidRPr="00C307E5">
        <w:rPr>
          <w:b/>
          <w:bCs/>
          <w:lang w:val="en-GB"/>
        </w:rPr>
        <w:t>Feature + model work.</w:t>
      </w:r>
      <w:r w:rsidRPr="00C307E5">
        <w:rPr>
          <w:lang w:val="en-GB"/>
        </w:rPr>
        <w:t> Near-term movement features plus a direction/magnitude model in Spark involve windowed joins, aggregations, and proper evaluation.</w:t>
      </w:r>
    </w:p>
    <w:p w14:paraId="061A948E" w14:textId="77777777" w:rsidR="00C307E5" w:rsidRPr="00C307E5" w:rsidRDefault="00C307E5" w:rsidP="00C307E5">
      <w:pPr>
        <w:numPr>
          <w:ilvl w:val="0"/>
          <w:numId w:val="2"/>
        </w:numPr>
        <w:rPr>
          <w:lang w:val="en-GB"/>
        </w:rPr>
      </w:pPr>
      <w:r w:rsidRPr="00C307E5">
        <w:rPr>
          <w:b/>
          <w:bCs/>
          <w:lang w:val="en-GB"/>
        </w:rPr>
        <w:t>Reproducibility.</w:t>
      </w:r>
      <w:r w:rsidRPr="00C307E5">
        <w:rPr>
          <w:lang w:val="en-GB"/>
        </w:rPr>
        <w:t> You must ship explain("formatted"), Spark UI evidence, configs, metrics logs, and a one-shot runner as the entire pipeline has to be automated.</w:t>
      </w:r>
    </w:p>
    <w:p w14:paraId="44C1C1AF" w14:textId="77777777" w:rsidR="00C307E5" w:rsidRPr="00C307E5" w:rsidRDefault="00C307E5" w:rsidP="00C307E5">
      <w:pPr>
        <w:numPr>
          <w:ilvl w:val="0"/>
          <w:numId w:val="2"/>
        </w:numPr>
        <w:rPr>
          <w:lang w:val="en-GB"/>
        </w:rPr>
      </w:pPr>
      <w:r w:rsidRPr="00C307E5">
        <w:rPr>
          <w:b/>
          <w:bCs/>
          <w:lang w:val="en-GB"/>
        </w:rPr>
        <w:t>Optional scope expansion.</w:t>
      </w:r>
      <w:r w:rsidRPr="00C307E5">
        <w:rPr>
          <w:lang w:val="en-GB"/>
        </w:rPr>
        <w:t> If needed, spell out the dual-dataset ingestion explicitly (e.g., “Ingest raw blocks via prune mode + Kaggle candles, build transaction tables, join with price features, then train/test prediction models.”)</w:t>
      </w:r>
    </w:p>
    <w:p w14:paraId="583035F5" w14:textId="77777777" w:rsidR="00C307E5" w:rsidRPr="00C307E5" w:rsidRDefault="00C307E5" w:rsidP="00C307E5">
      <w:pPr>
        <w:rPr>
          <w:lang w:val="en-GB"/>
        </w:rPr>
      </w:pPr>
      <w:r w:rsidRPr="00C307E5">
        <w:rPr>
          <w:lang w:val="en-GB"/>
        </w:rPr>
        <w:t>Together they let us study how on-chain flows </w:t>
      </w:r>
      <w:r w:rsidRPr="00C307E5">
        <w:rPr>
          <w:i/>
          <w:iCs/>
          <w:lang w:val="en-GB"/>
        </w:rPr>
        <w:t>drive</w:t>
      </w:r>
      <w:r w:rsidRPr="00C307E5">
        <w:rPr>
          <w:lang w:val="en-GB"/>
        </w:rPr>
        <w:t> or </w:t>
      </w:r>
      <w:r w:rsidRPr="00C307E5">
        <w:rPr>
          <w:i/>
          <w:iCs/>
          <w:lang w:val="en-GB"/>
        </w:rPr>
        <w:t>lag</w:t>
      </w:r>
      <w:r w:rsidRPr="00C307E5">
        <w:rPr>
          <w:lang w:val="en-GB"/>
        </w:rPr>
        <w:t> price moves. You can take the resulting predictor to production </w:t>
      </w:r>
      <w:r w:rsidRPr="00C307E5">
        <w:rPr>
          <w:b/>
          <w:bCs/>
          <w:lang w:val="en-GB"/>
        </w:rPr>
        <w:t>if</w:t>
      </w:r>
      <w:r w:rsidRPr="00C307E5">
        <w:rPr>
          <w:lang w:val="en-GB"/>
        </w:rPr>
        <w:t> you wrap it with proper retraining, monitoring, and risk limits.</w:t>
      </w:r>
    </w:p>
    <w:p w14:paraId="4C92DA9C" w14:textId="77777777" w:rsidR="00C307E5" w:rsidRPr="00C307E5" w:rsidRDefault="00C307E5" w:rsidP="00C307E5">
      <w:pPr>
        <w:rPr>
          <w:b/>
          <w:bCs/>
          <w:lang w:val="en-GB"/>
        </w:rPr>
      </w:pPr>
      <w:r w:rsidRPr="00C307E5">
        <w:rPr>
          <w:b/>
          <w:bCs/>
          <w:lang w:val="en-GB"/>
        </w:rPr>
        <w:t>Extra uses beyond “predict up/down”</w:t>
      </w:r>
    </w:p>
    <w:p w14:paraId="38D96E03" w14:textId="77777777" w:rsidR="00C307E5" w:rsidRPr="00C307E5" w:rsidRDefault="00C307E5" w:rsidP="00C307E5">
      <w:pPr>
        <w:rPr>
          <w:lang w:val="en-GB"/>
        </w:rPr>
      </w:pPr>
      <w:r w:rsidRPr="00C307E5">
        <w:rPr>
          <w:lang w:val="en-GB"/>
        </w:rPr>
        <w:t>The same feature stack supports:</w:t>
      </w:r>
    </w:p>
    <w:p w14:paraId="085E2CAE" w14:textId="77777777" w:rsidR="00C307E5" w:rsidRPr="00C307E5" w:rsidRDefault="00C307E5" w:rsidP="00C307E5">
      <w:pPr>
        <w:numPr>
          <w:ilvl w:val="0"/>
          <w:numId w:val="3"/>
        </w:numPr>
        <w:rPr>
          <w:lang w:val="en-GB"/>
        </w:rPr>
      </w:pPr>
      <w:r w:rsidRPr="00C307E5">
        <w:rPr>
          <w:b/>
          <w:bCs/>
          <w:lang w:val="en-GB"/>
        </w:rPr>
        <w:lastRenderedPageBreak/>
        <w:t>Risk alerts</w:t>
      </w:r>
      <w:r w:rsidRPr="00C307E5">
        <w:rPr>
          <w:lang w:val="en-GB"/>
        </w:rPr>
        <w:t> – flag drawdown/pump patterns for treasury or trading desks.</w:t>
      </w:r>
    </w:p>
    <w:p w14:paraId="1FE4BC8B" w14:textId="77777777" w:rsidR="00C307E5" w:rsidRPr="00C307E5" w:rsidRDefault="00C307E5" w:rsidP="00C307E5">
      <w:pPr>
        <w:numPr>
          <w:ilvl w:val="0"/>
          <w:numId w:val="3"/>
        </w:numPr>
        <w:rPr>
          <w:lang w:val="en-GB"/>
        </w:rPr>
      </w:pPr>
      <w:r w:rsidRPr="00C307E5">
        <w:rPr>
          <w:b/>
          <w:bCs/>
          <w:lang w:val="en-GB"/>
        </w:rPr>
        <w:t>Liquidity planning</w:t>
      </w:r>
      <w:r w:rsidRPr="00C307E5">
        <w:rPr>
          <w:lang w:val="en-GB"/>
        </w:rPr>
        <w:t> – warn market makers about likely volatility so they can adjust spreads/capital.</w:t>
      </w:r>
    </w:p>
    <w:p w14:paraId="2521F637" w14:textId="77777777" w:rsidR="00C307E5" w:rsidRPr="00C307E5" w:rsidRDefault="00C307E5" w:rsidP="00C307E5">
      <w:pPr>
        <w:numPr>
          <w:ilvl w:val="0"/>
          <w:numId w:val="3"/>
        </w:numPr>
        <w:rPr>
          <w:lang w:val="en-GB"/>
        </w:rPr>
      </w:pPr>
      <w:r w:rsidRPr="00C307E5">
        <w:rPr>
          <w:b/>
          <w:bCs/>
          <w:lang w:val="en-GB"/>
        </w:rPr>
        <w:t>Automated hedging</w:t>
      </w:r>
      <w:r w:rsidRPr="00C307E5">
        <w:rPr>
          <w:lang w:val="en-GB"/>
        </w:rPr>
        <w:t> – feed probabilities into rules that size hedges or unwind positions.</w:t>
      </w:r>
    </w:p>
    <w:p w14:paraId="22EF6E07" w14:textId="77777777" w:rsidR="00C307E5" w:rsidRPr="00C307E5" w:rsidRDefault="00C307E5" w:rsidP="00C307E5">
      <w:pPr>
        <w:numPr>
          <w:ilvl w:val="0"/>
          <w:numId w:val="3"/>
        </w:numPr>
        <w:rPr>
          <w:lang w:val="en-GB"/>
        </w:rPr>
      </w:pPr>
      <w:r w:rsidRPr="00C307E5">
        <w:rPr>
          <w:b/>
          <w:bCs/>
          <w:lang w:val="en-GB"/>
        </w:rPr>
        <w:t>Anomaly detection</w:t>
      </w:r>
      <w:r w:rsidRPr="00C307E5">
        <w:rPr>
          <w:lang w:val="en-GB"/>
        </w:rPr>
        <w:t> – spot unusual whale/exchange flows before prices react.</w:t>
      </w:r>
    </w:p>
    <w:p w14:paraId="565CD869" w14:textId="77777777" w:rsidR="00C307E5" w:rsidRPr="00C307E5" w:rsidRDefault="00C307E5" w:rsidP="00C307E5">
      <w:pPr>
        <w:numPr>
          <w:ilvl w:val="0"/>
          <w:numId w:val="3"/>
        </w:numPr>
        <w:rPr>
          <w:lang w:val="en-GB"/>
        </w:rPr>
      </w:pPr>
      <w:r w:rsidRPr="00C307E5">
        <w:rPr>
          <w:b/>
          <w:bCs/>
          <w:lang w:val="en-GB"/>
        </w:rPr>
        <w:t>Scenario backtesting</w:t>
      </w:r>
      <w:r w:rsidRPr="00C307E5">
        <w:rPr>
          <w:lang w:val="en-GB"/>
        </w:rPr>
        <w:t> – target realized volatility, spreads, or other derivatives with minimal changes.</w:t>
      </w:r>
    </w:p>
    <w:p w14:paraId="42E71421" w14:textId="77777777" w:rsidR="00C307E5" w:rsidRPr="00C307E5" w:rsidRDefault="00C307E5" w:rsidP="00C307E5">
      <w:pPr>
        <w:rPr>
          <w:b/>
          <w:bCs/>
          <w:lang w:val="en-GB"/>
        </w:rPr>
      </w:pPr>
      <w:r w:rsidRPr="00C307E5">
        <w:rPr>
          <w:b/>
          <w:bCs/>
          <w:lang w:val="en-GB"/>
        </w:rPr>
        <w:t>Scope explained with a data engineering scenario</w:t>
      </w:r>
    </w:p>
    <w:tbl>
      <w:tblPr>
        <w:tblW w:w="0" w:type="auto"/>
        <w:tblCellMar>
          <w:top w:w="15" w:type="dxa"/>
          <w:left w:w="15" w:type="dxa"/>
          <w:bottom w:w="15" w:type="dxa"/>
          <w:right w:w="15" w:type="dxa"/>
        </w:tblCellMar>
        <w:tblLook w:val="04A0" w:firstRow="1" w:lastRow="0" w:firstColumn="1" w:lastColumn="0" w:noHBand="0" w:noVBand="1"/>
      </w:tblPr>
      <w:tblGrid>
        <w:gridCol w:w="2549"/>
        <w:gridCol w:w="6523"/>
      </w:tblGrid>
      <w:tr w:rsidR="00C307E5" w:rsidRPr="00C307E5" w14:paraId="0CC31227" w14:textId="77777777">
        <w:trPr>
          <w:tblHeader/>
        </w:trPr>
        <w:tc>
          <w:tcPr>
            <w:tcW w:w="0" w:type="auto"/>
            <w:tcBorders>
              <w:bottom w:val="single" w:sz="12" w:space="0" w:color="646464"/>
            </w:tcBorders>
            <w:vAlign w:val="center"/>
            <w:hideMark/>
          </w:tcPr>
          <w:p w14:paraId="35FC039D" w14:textId="77777777" w:rsidR="00C307E5" w:rsidRPr="00C307E5" w:rsidRDefault="00C307E5" w:rsidP="00C307E5">
            <w:pPr>
              <w:rPr>
                <w:b/>
                <w:bCs/>
              </w:rPr>
            </w:pPr>
            <w:r w:rsidRPr="00C307E5">
              <w:rPr>
                <w:b/>
                <w:bCs/>
              </w:rPr>
              <w:t>Scope item</w:t>
            </w:r>
          </w:p>
        </w:tc>
        <w:tc>
          <w:tcPr>
            <w:tcW w:w="0" w:type="auto"/>
            <w:tcBorders>
              <w:bottom w:val="single" w:sz="12" w:space="0" w:color="646464"/>
            </w:tcBorders>
            <w:vAlign w:val="center"/>
            <w:hideMark/>
          </w:tcPr>
          <w:p w14:paraId="20237EC5" w14:textId="77777777" w:rsidR="00C307E5" w:rsidRPr="00C307E5" w:rsidRDefault="00C307E5" w:rsidP="00C307E5">
            <w:pPr>
              <w:rPr>
                <w:b/>
                <w:bCs/>
              </w:rPr>
            </w:pPr>
            <w:r w:rsidRPr="00C307E5">
              <w:rPr>
                <w:b/>
                <w:bCs/>
              </w:rPr>
              <w:t>Real-world analogy</w:t>
            </w:r>
          </w:p>
        </w:tc>
      </w:tr>
      <w:tr w:rsidR="00C307E5" w:rsidRPr="00C307E5" w14:paraId="7051B285" w14:textId="77777777">
        <w:tc>
          <w:tcPr>
            <w:tcW w:w="0" w:type="auto"/>
            <w:vAlign w:val="center"/>
            <w:hideMark/>
          </w:tcPr>
          <w:p w14:paraId="329C19B1" w14:textId="77777777" w:rsidR="00C307E5" w:rsidRPr="00C307E5" w:rsidRDefault="00C307E5" w:rsidP="00C307E5">
            <w:pPr>
              <w:rPr>
                <w:lang w:val="en-GB"/>
              </w:rPr>
            </w:pPr>
            <w:r w:rsidRPr="00C307E5">
              <w:rPr>
                <w:lang w:val="en-GB"/>
              </w:rPr>
              <w:t>Acquire recent Bitcoin data (raw blocks + prices)</w:t>
            </w:r>
          </w:p>
        </w:tc>
        <w:tc>
          <w:tcPr>
            <w:tcW w:w="0" w:type="auto"/>
            <w:vAlign w:val="center"/>
            <w:hideMark/>
          </w:tcPr>
          <w:p w14:paraId="299265A2" w14:textId="77777777" w:rsidR="00C307E5" w:rsidRPr="00C307E5" w:rsidRDefault="00C307E5" w:rsidP="00C307E5">
            <w:pPr>
              <w:rPr>
                <w:lang w:val="en-GB"/>
              </w:rPr>
            </w:pPr>
            <w:r w:rsidRPr="00C307E5">
              <w:rPr>
                <w:lang w:val="en-GB"/>
              </w:rPr>
              <w:t>Stand up a data pipeline that pulls shipping manifests (blocks) and market quotes every day. You run Bitcoin Core in prune mode to keep disk manageable while staying current.</w:t>
            </w:r>
          </w:p>
        </w:tc>
      </w:tr>
      <w:tr w:rsidR="00C307E5" w:rsidRPr="00C307E5" w14:paraId="387F0773" w14:textId="77777777">
        <w:tc>
          <w:tcPr>
            <w:tcW w:w="0" w:type="auto"/>
            <w:vAlign w:val="center"/>
            <w:hideMark/>
          </w:tcPr>
          <w:p w14:paraId="093A7AC7" w14:textId="77777777" w:rsidR="00C307E5" w:rsidRPr="00C307E5" w:rsidRDefault="00C307E5" w:rsidP="00C307E5">
            <w:r w:rsidRPr="00C307E5">
              <w:t>Extract transactions to tables</w:t>
            </w:r>
          </w:p>
        </w:tc>
        <w:tc>
          <w:tcPr>
            <w:tcW w:w="0" w:type="auto"/>
            <w:vAlign w:val="center"/>
            <w:hideMark/>
          </w:tcPr>
          <w:p w14:paraId="2384CB7C" w14:textId="77777777" w:rsidR="00C307E5" w:rsidRPr="00C307E5" w:rsidRDefault="00C307E5" w:rsidP="00C307E5">
            <w:pPr>
              <w:rPr>
                <w:lang w:val="en-GB"/>
              </w:rPr>
            </w:pPr>
            <w:r w:rsidRPr="00C307E5">
              <w:rPr>
                <w:lang w:val="en-GB"/>
              </w:rPr>
              <w:t>Build ingestion jobs that parse binary blocks into Spark tables (transactions, addresses, flows). Think of turning raw JSON logs into bronze/silver tables in a lakehouse.</w:t>
            </w:r>
          </w:p>
        </w:tc>
      </w:tr>
      <w:tr w:rsidR="00C307E5" w:rsidRPr="00C307E5" w14:paraId="26AEC104" w14:textId="77777777">
        <w:tc>
          <w:tcPr>
            <w:tcW w:w="0" w:type="auto"/>
            <w:vAlign w:val="center"/>
            <w:hideMark/>
          </w:tcPr>
          <w:p w14:paraId="7C4D917A" w14:textId="77777777" w:rsidR="00C307E5" w:rsidRPr="00C307E5" w:rsidRDefault="00C307E5" w:rsidP="00C307E5">
            <w:pPr>
              <w:rPr>
                <w:lang w:val="en-GB"/>
              </w:rPr>
            </w:pPr>
            <w:r w:rsidRPr="00C307E5">
              <w:rPr>
                <w:lang w:val="en-GB"/>
              </w:rPr>
              <w:t>Engineer features for near-term price moves</w:t>
            </w:r>
          </w:p>
        </w:tc>
        <w:tc>
          <w:tcPr>
            <w:tcW w:w="0" w:type="auto"/>
            <w:vAlign w:val="center"/>
            <w:hideMark/>
          </w:tcPr>
          <w:p w14:paraId="46D2F932" w14:textId="77777777" w:rsidR="00C307E5" w:rsidRPr="00C307E5" w:rsidRDefault="00C307E5" w:rsidP="00C307E5">
            <w:r w:rsidRPr="00C307E5">
              <w:rPr>
                <w:lang w:val="en-GB"/>
              </w:rPr>
              <w:t xml:space="preserve">Enrich the data: rolling volumes, UTXO age, whale alerts, momentum. </w:t>
            </w:r>
            <w:r w:rsidRPr="00C307E5">
              <w:t>These become the feature sets your ML service consumes.</w:t>
            </w:r>
          </w:p>
        </w:tc>
      </w:tr>
      <w:tr w:rsidR="00C307E5" w:rsidRPr="00C307E5" w14:paraId="1BE0E42E" w14:textId="77777777">
        <w:tc>
          <w:tcPr>
            <w:tcW w:w="0" w:type="auto"/>
            <w:vAlign w:val="center"/>
            <w:hideMark/>
          </w:tcPr>
          <w:p w14:paraId="192F85BB" w14:textId="77777777" w:rsidR="00C307E5" w:rsidRPr="00C307E5" w:rsidRDefault="00C307E5" w:rsidP="00C307E5">
            <w:pPr>
              <w:rPr>
                <w:lang w:val="en-GB"/>
              </w:rPr>
            </w:pPr>
            <w:r w:rsidRPr="00C307E5">
              <w:rPr>
                <w:lang w:val="en-GB"/>
              </w:rPr>
              <w:t>Train and evaluate direction/magnitude predictor</w:t>
            </w:r>
          </w:p>
        </w:tc>
        <w:tc>
          <w:tcPr>
            <w:tcW w:w="0" w:type="auto"/>
            <w:vAlign w:val="center"/>
            <w:hideMark/>
          </w:tcPr>
          <w:p w14:paraId="4F2A1127" w14:textId="77777777" w:rsidR="00C307E5" w:rsidRPr="00C307E5" w:rsidRDefault="00C307E5" w:rsidP="00C307E5">
            <w:pPr>
              <w:rPr>
                <w:lang w:val="en-GB"/>
              </w:rPr>
            </w:pPr>
            <w:r w:rsidRPr="00C307E5">
              <w:rPr>
                <w:lang w:val="en-GB"/>
              </w:rPr>
              <w:t>Operate a Spark ML training pipeline. Version the model, store metrics, ensure it beats baselines, and log Spark plans for reproducibility.</w:t>
            </w:r>
          </w:p>
        </w:tc>
      </w:tr>
      <w:tr w:rsidR="00C307E5" w:rsidRPr="00C307E5" w14:paraId="5A02C4A1" w14:textId="77777777">
        <w:tc>
          <w:tcPr>
            <w:tcW w:w="0" w:type="auto"/>
            <w:vAlign w:val="center"/>
            <w:hideMark/>
          </w:tcPr>
          <w:p w14:paraId="1D9E787A" w14:textId="77777777" w:rsidR="00C307E5" w:rsidRPr="00C307E5" w:rsidRDefault="00C307E5" w:rsidP="00C307E5">
            <w:r w:rsidRPr="00C307E5">
              <w:t>Provide reproducible evidence</w:t>
            </w:r>
          </w:p>
        </w:tc>
        <w:tc>
          <w:tcPr>
            <w:tcW w:w="0" w:type="auto"/>
            <w:vAlign w:val="center"/>
            <w:hideMark/>
          </w:tcPr>
          <w:p w14:paraId="6380A9E6" w14:textId="77777777" w:rsidR="00C307E5" w:rsidRPr="00C307E5" w:rsidRDefault="00C307E5" w:rsidP="00C307E5">
            <w:pPr>
              <w:rPr>
                <w:lang w:val="en-GB"/>
              </w:rPr>
            </w:pPr>
            <w:r w:rsidRPr="00C307E5">
              <w:rPr>
                <w:lang w:val="en-GB"/>
              </w:rPr>
              <w:t>Ship proper documentation and automation: notebook or job configs, explain("formatted") outputs, Spark UI screenshots, metrics logs, one-shot runners. The goal is that another engineer can replay everything end to end.</w:t>
            </w:r>
          </w:p>
        </w:tc>
      </w:tr>
    </w:tbl>
    <w:p w14:paraId="373E39CB" w14:textId="77777777" w:rsidR="00C307E5" w:rsidRPr="00C307E5" w:rsidRDefault="00C307E5" w:rsidP="00C307E5">
      <w:pPr>
        <w:rPr>
          <w:lang w:val="en-GB"/>
        </w:rPr>
      </w:pPr>
      <w:r w:rsidRPr="00C307E5">
        <w:rPr>
          <w:b/>
          <w:bCs/>
          <w:lang w:val="en-GB"/>
        </w:rPr>
        <w:t>Key takeaway:</w:t>
      </w:r>
      <w:r w:rsidRPr="00C307E5">
        <w:rPr>
          <w:lang w:val="en-GB"/>
        </w:rPr>
        <w:t> it’s an end-to-end big data stack with collection, ETL, feature engineering, modeling, and reproducibility which means it’s not a small Kaggle script.</w:t>
      </w:r>
    </w:p>
    <w:p w14:paraId="6D4C431D" w14:textId="77777777" w:rsidR="00C307E5" w:rsidRPr="00C307E5" w:rsidRDefault="00C307E5">
      <w:pPr>
        <w:rPr>
          <w:lang w:val="en-GB"/>
        </w:rPr>
      </w:pPr>
    </w:p>
    <w:sectPr w:rsidR="00C307E5" w:rsidRPr="00C307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B4391"/>
    <w:multiLevelType w:val="multilevel"/>
    <w:tmpl w:val="916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82B3F"/>
    <w:multiLevelType w:val="multilevel"/>
    <w:tmpl w:val="8926D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AD0CCD"/>
    <w:multiLevelType w:val="multilevel"/>
    <w:tmpl w:val="9D66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995862">
    <w:abstractNumId w:val="1"/>
  </w:num>
  <w:num w:numId="2" w16cid:durableId="1483885154">
    <w:abstractNumId w:val="0"/>
  </w:num>
  <w:num w:numId="3" w16cid:durableId="1016006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7E5"/>
    <w:rsid w:val="00C307E5"/>
    <w:rsid w:val="00F360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46AE2"/>
  <w15:chartTrackingRefBased/>
  <w15:docId w15:val="{EAC9DC94-8898-442F-8112-7490DF22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0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30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307E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307E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07E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07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07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07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07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07E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307E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307E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07E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07E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07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07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07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07E5"/>
    <w:rPr>
      <w:rFonts w:eastAsiaTheme="majorEastAsia" w:cstheme="majorBidi"/>
      <w:color w:val="272727" w:themeColor="text1" w:themeTint="D8"/>
    </w:rPr>
  </w:style>
  <w:style w:type="paragraph" w:styleId="Titre">
    <w:name w:val="Title"/>
    <w:basedOn w:val="Normal"/>
    <w:next w:val="Normal"/>
    <w:link w:val="TitreCar"/>
    <w:uiPriority w:val="10"/>
    <w:qFormat/>
    <w:rsid w:val="00C30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07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07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307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07E5"/>
    <w:pPr>
      <w:spacing w:before="160"/>
      <w:jc w:val="center"/>
    </w:pPr>
    <w:rPr>
      <w:i/>
      <w:iCs/>
      <w:color w:val="404040" w:themeColor="text1" w:themeTint="BF"/>
    </w:rPr>
  </w:style>
  <w:style w:type="character" w:customStyle="1" w:styleId="CitationCar">
    <w:name w:val="Citation Car"/>
    <w:basedOn w:val="Policepardfaut"/>
    <w:link w:val="Citation"/>
    <w:uiPriority w:val="29"/>
    <w:rsid w:val="00C307E5"/>
    <w:rPr>
      <w:i/>
      <w:iCs/>
      <w:color w:val="404040" w:themeColor="text1" w:themeTint="BF"/>
    </w:rPr>
  </w:style>
  <w:style w:type="paragraph" w:styleId="Paragraphedeliste">
    <w:name w:val="List Paragraph"/>
    <w:basedOn w:val="Normal"/>
    <w:uiPriority w:val="34"/>
    <w:qFormat/>
    <w:rsid w:val="00C307E5"/>
    <w:pPr>
      <w:ind w:left="720"/>
      <w:contextualSpacing/>
    </w:pPr>
  </w:style>
  <w:style w:type="character" w:styleId="Accentuationintense">
    <w:name w:val="Intense Emphasis"/>
    <w:basedOn w:val="Policepardfaut"/>
    <w:uiPriority w:val="21"/>
    <w:qFormat/>
    <w:rsid w:val="00C307E5"/>
    <w:rPr>
      <w:i/>
      <w:iCs/>
      <w:color w:val="0F4761" w:themeColor="accent1" w:themeShade="BF"/>
    </w:rPr>
  </w:style>
  <w:style w:type="paragraph" w:styleId="Citationintense">
    <w:name w:val="Intense Quote"/>
    <w:basedOn w:val="Normal"/>
    <w:next w:val="Normal"/>
    <w:link w:val="CitationintenseCar"/>
    <w:uiPriority w:val="30"/>
    <w:qFormat/>
    <w:rsid w:val="00C30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07E5"/>
    <w:rPr>
      <w:i/>
      <w:iCs/>
      <w:color w:val="0F4761" w:themeColor="accent1" w:themeShade="BF"/>
    </w:rPr>
  </w:style>
  <w:style w:type="character" w:styleId="Rfrenceintense">
    <w:name w:val="Intense Reference"/>
    <w:basedOn w:val="Policepardfaut"/>
    <w:uiPriority w:val="32"/>
    <w:qFormat/>
    <w:rsid w:val="00C30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581</Words>
  <Characters>3199</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NABONNE</dc:creator>
  <cp:keywords/>
  <dc:description/>
  <cp:lastModifiedBy>Esteban NABONNE</cp:lastModifiedBy>
  <cp:revision>2</cp:revision>
  <dcterms:created xsi:type="dcterms:W3CDTF">2025-12-03T21:47:00Z</dcterms:created>
  <dcterms:modified xsi:type="dcterms:W3CDTF">2025-12-03T21:48:00Z</dcterms:modified>
</cp:coreProperties>
</file>