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720" w:after="0"/>
        <w:ind w:hanging="0"/>
        <w:jc w:val="start"/>
        <w:rPr/>
      </w:pPr>
      <w:r>
        <w:rPr/>
      </w:r>
    </w:p>
    <w:p>
      <w:pPr>
        <w:pStyle w:val="Normal"/>
        <w:spacing w:lineRule="auto" w:line="480" w:before="240" w:after="120"/>
        <w:ind w:hanging="0"/>
        <w:jc w:val="center"/>
        <w:rPr/>
      </w:pPr>
      <w:r>
        <w:rPr>
          <w:b/>
          <w:i w:val="false"/>
          <w:color w:val="000000"/>
          <w:sz w:val="24"/>
        </w:rPr>
        <w:t>Arquitectura, Datos y Diseño Técnico del Proyecto Software SITBIO</w:t>
      </w:r>
    </w:p>
    <w:p>
      <w:pPr>
        <w:pStyle w:val="Normal"/>
        <w:spacing w:lineRule="auto" w:line="480" w:before="0" w:after="360"/>
        <w:ind w:hanging="0"/>
        <w:jc w:val="center"/>
        <w:rPr/>
      </w:pPr>
      <w:r>
        <w:rPr>
          <w:b w:val="false"/>
          <w:i/>
          <w:color w:val="000000"/>
          <w:sz w:val="24"/>
        </w:rPr>
        <w:t>Especificación de Arquitectura de Software, Diagramas C4, Persistencia Híbrida (PostgreSQL / MongoDB), API REST C# .NET Core, Pipeline Analítico en Python (Pandas / K-Means) y Seguridad RBAC para la Aplicación de Escritorio WPF</w:t>
      </w:r>
    </w:p>
    <w:p>
      <w:pPr>
        <w:pStyle w:val="Normal"/>
        <w:spacing w:lineRule="auto" w:line="480" w:before="240" w:after="0"/>
        <w:ind w:hanging="0"/>
        <w:jc w:val="center"/>
        <w:rPr/>
      </w:pPr>
      <w:r>
        <w:rPr>
          <w:b w:val="false"/>
          <w:i w:val="false"/>
          <w:color w:val="000000"/>
          <w:sz w:val="24"/>
        </w:rPr>
        <w:t>Miguel Ángel Ocampo Muñoz</w:t>
      </w:r>
    </w:p>
    <w:p>
      <w:pPr>
        <w:pStyle w:val="Normal"/>
        <w:spacing w:lineRule="auto" w:line="480" w:before="0" w:after="0"/>
        <w:ind w:hanging="0"/>
        <w:jc w:val="center"/>
        <w:rPr/>
      </w:pPr>
      <w:r>
        <w:rPr>
          <w:b w:val="false"/>
          <w:i w:val="false"/>
          <w:color w:val="000000"/>
          <w:sz w:val="24"/>
        </w:rPr>
        <w:t>Esteban Bedoya Rojo</w:t>
      </w:r>
    </w:p>
    <w:p>
      <w:pPr>
        <w:pStyle w:val="Normal"/>
        <w:spacing w:lineRule="auto" w:line="480" w:before="0" w:after="0"/>
        <w:ind w:hanging="0"/>
        <w:jc w:val="center"/>
        <w:rPr/>
      </w:pPr>
      <w:r>
        <w:rPr>
          <w:b w:val="false"/>
          <w:i w:val="false"/>
          <w:color w:val="000000"/>
          <w:sz w:val="24"/>
        </w:rPr>
        <w:t>Héctor Steven Cuesta</w:t>
      </w:r>
    </w:p>
    <w:p>
      <w:pPr>
        <w:pStyle w:val="Normal"/>
        <w:spacing w:lineRule="auto" w:line="480" w:before="0" w:after="360"/>
        <w:ind w:hanging="0"/>
        <w:jc w:val="center"/>
        <w:rPr/>
      </w:pPr>
      <w:r>
        <w:rPr>
          <w:b w:val="false"/>
          <w:i w:val="false"/>
          <w:color w:val="000000"/>
          <w:sz w:val="24"/>
        </w:rPr>
        <w:t>Juan José García Laverde</w:t>
      </w:r>
    </w:p>
    <w:p>
      <w:pPr>
        <w:pStyle w:val="Normal"/>
        <w:spacing w:lineRule="auto" w:line="480" w:before="0" w:after="0"/>
        <w:ind w:hanging="0"/>
        <w:jc w:val="center"/>
        <w:rPr/>
      </w:pPr>
      <w:r>
        <w:rPr>
          <w:b w:val="false"/>
          <w:i w:val="false"/>
          <w:color w:val="000000"/>
          <w:sz w:val="24"/>
        </w:rPr>
        <w:t>Centro de la Tecnología y Manufactura Avanzada (CTMA)</w:t>
      </w:r>
    </w:p>
    <w:p>
      <w:pPr>
        <w:pStyle w:val="Normal"/>
        <w:spacing w:lineRule="auto" w:line="480" w:before="0" w:after="0"/>
        <w:ind w:hanging="0"/>
        <w:jc w:val="center"/>
        <w:rPr/>
      </w:pPr>
      <w:r>
        <w:rPr>
          <w:b w:val="false"/>
          <w:i w:val="false"/>
          <w:color w:val="000000"/>
          <w:sz w:val="24"/>
        </w:rPr>
        <w:t>Servicio Nacional de Aprendizaje (SENA) - Regional Antioquia</w:t>
      </w:r>
    </w:p>
    <w:p>
      <w:pPr>
        <w:pStyle w:val="Normal"/>
        <w:spacing w:lineRule="auto" w:line="480" w:before="0" w:after="0"/>
        <w:ind w:hanging="0"/>
        <w:jc w:val="center"/>
        <w:rPr/>
      </w:pPr>
      <w:r>
        <w:rPr>
          <w:b w:val="false"/>
          <w:i w:val="false"/>
          <w:color w:val="000000"/>
          <w:sz w:val="24"/>
        </w:rPr>
        <w:t>Tecnología en Análisis y Desarrollo de Software (ADSO) - Ficha 2834821 / 2834822 / 3223875</w:t>
      </w:r>
    </w:p>
    <w:p>
      <w:pPr>
        <w:pStyle w:val="Normal"/>
        <w:spacing w:lineRule="auto" w:line="480" w:before="0" w:after="0"/>
        <w:ind w:hanging="0"/>
        <w:jc w:val="center"/>
        <w:rPr/>
      </w:pPr>
      <w:r>
        <w:rPr>
          <w:b w:val="false"/>
          <w:i w:val="false"/>
          <w:color w:val="000000"/>
          <w:sz w:val="24"/>
        </w:rPr>
        <w:t>Instructor Asesor: Juan Pablo Saldarriaga</w:t>
      </w:r>
    </w:p>
    <w:p>
      <w:pPr>
        <w:pStyle w:val="Normal"/>
        <w:spacing w:lineRule="auto" w:line="480" w:before="0" w:after="0"/>
        <w:ind w:hanging="0"/>
        <w:jc w:val="center"/>
        <w:rPr/>
      </w:pPr>
      <w:r>
        <w:rPr>
          <w:b w:val="false"/>
          <w:i w:val="false"/>
          <w:color w:val="000000"/>
          <w:sz w:val="24"/>
        </w:rPr>
        <w:t>19 de octubre de 2026</w:t>
      </w:r>
    </w:p>
    <w:p>
      <w:pPr>
        <w:pStyle w:val="Normal"/>
        <w:rPr/>
      </w:pPr>
      <w:r>
        <w:rPr/>
      </w:r>
      <w:r>
        <w:br w:type="page"/>
      </w:r>
    </w:p>
    <w:p>
      <w:pPr>
        <w:pStyle w:val="Heading1"/>
        <w:spacing w:lineRule="auto" w:line="480" w:before="0" w:after="120"/>
        <w:ind w:hanging="0"/>
        <w:jc w:val="center"/>
        <w:rPr/>
      </w:pPr>
      <w:r>
        <w:rPr>
          <w:rFonts w:ascii="Times New Roman" w:hAnsi="Times New Roman"/>
          <w:b/>
          <w:i w:val="false"/>
          <w:color w:val="000000"/>
          <w:sz w:val="24"/>
        </w:rPr>
        <w:t>Tabla de Contenido</w:t>
      </w:r>
    </w:p>
    <w:p>
      <w:pPr>
        <w:pStyle w:val="Normal"/>
        <w:spacing w:lineRule="auto" w:line="480" w:before="0" w:after="0"/>
        <w:ind w:hanging="0"/>
        <w:jc w:val="start"/>
        <w:rPr/>
      </w:pPr>
      <w:r>
        <w:rPr>
          <w:b w:val="false"/>
          <w:i w:val="false"/>
          <w:color w:val="000000"/>
          <w:sz w:val="24"/>
        </w:rPr>
        <w:t>A continuación se presenta la tabla de contenido estructurada del documento de Arquitectura, Datos y Diseño Técnico (ADSO-ARQ-01), la cual se actualiza automáticamente al abrir o actualizar el archivo en Microsoft Word o Google Docs:</w:t>
      </w:r>
    </w:p>
    <w:p>
      <w:pPr>
        <w:pStyle w:val="Normal"/>
        <w:spacing w:lineRule="auto" w:line="480"/>
        <w:ind w:hanging="0"/>
        <w:jc w:val="start"/>
        <w:rPr/>
      </w:pPr>
      <w:r>
        <w:rPr/>
      </w:r>
    </w:p>
    <w:p>
      <w:pPr>
        <w:pStyle w:val="Normal"/>
        <w:rPr/>
      </w:pPr>
      <w:r>
        <w:rPr/>
      </w:r>
      <w:r>
        <w:br w:type="page"/>
      </w:r>
    </w:p>
    <w:p>
      <w:pPr>
        <w:pStyle w:val="Heading1"/>
        <w:spacing w:lineRule="auto" w:line="480" w:before="0" w:after="120"/>
        <w:ind w:hanging="0"/>
        <w:jc w:val="center"/>
        <w:rPr/>
      </w:pPr>
      <w:r>
        <w:rPr>
          <w:rFonts w:ascii="Times New Roman" w:hAnsi="Times New Roman"/>
          <w:b/>
          <w:i w:val="false"/>
          <w:color w:val="000000"/>
          <w:sz w:val="24"/>
        </w:rPr>
        <w:t>Arquitectura, Datos y Diseño Técnico del Proyecto Software SITBIO</w:t>
      </w:r>
    </w:p>
    <w:p>
      <w:pPr>
        <w:pStyle w:val="Heading2"/>
        <w:spacing w:lineRule="auto" w:line="480" w:before="240" w:after="120"/>
        <w:ind w:hanging="0"/>
        <w:jc w:val="start"/>
        <w:rPr/>
      </w:pPr>
      <w:r>
        <w:rPr>
          <w:rFonts w:ascii="Times New Roman" w:hAnsi="Times New Roman"/>
          <w:b/>
          <w:i w:val="false"/>
          <w:color w:val="000000"/>
          <w:sz w:val="24"/>
        </w:rPr>
        <w:t>1. Control Documental, Ficha Técnica y Aprobaciones</w:t>
      </w:r>
    </w:p>
    <w:p>
      <w:pPr>
        <w:pStyle w:val="Heading3"/>
        <w:spacing w:lineRule="auto" w:line="480" w:before="120" w:after="120"/>
        <w:ind w:hanging="0"/>
        <w:jc w:val="start"/>
        <w:rPr/>
      </w:pPr>
      <w:r>
        <w:rPr>
          <w:rFonts w:ascii="Times New Roman" w:hAnsi="Times New Roman"/>
          <w:b/>
          <w:i/>
          <w:color w:val="000000"/>
          <w:sz w:val="24"/>
        </w:rPr>
        <w:t>1.1 Ficha Técnica e Identificación del Artefacto</w:t>
      </w:r>
    </w:p>
    <w:p>
      <w:pPr>
        <w:pStyle w:val="Normal"/>
        <w:spacing w:lineRule="auto" w:line="480" w:before="0" w:after="0"/>
        <w:ind w:firstLine="720"/>
        <w:jc w:val="start"/>
        <w:rPr/>
      </w:pPr>
      <w:r>
        <w:rPr>
          <w:b w:val="false"/>
          <w:i w:val="false"/>
          <w:color w:val="000000"/>
          <w:sz w:val="24"/>
        </w:rPr>
        <w:t>El presente documento formaliza la especificación técnica de arquitectura, modelo de datos, diseño de componentes, API, seguridad y estrategia de despliegue para el sistema SITBIO (Sistema de Información para la Trazabilidad y Gestión de Mantenimientos Biomédicos), bajo la guía institucional ADSO-ARQ-01 versión 1.0 del SENA CTMA.</w:t>
      </w:r>
    </w:p>
    <w:p>
      <w:pPr>
        <w:pStyle w:val="Normal"/>
        <w:spacing w:lineRule="auto" w:line="276" w:before="120" w:after="40"/>
        <w:ind w:hanging="0"/>
        <w:jc w:val="start"/>
        <w:rPr/>
      </w:pPr>
      <w:r>
        <w:rPr>
          <w:b/>
          <w:i w:val="false"/>
          <w:color w:val="000000"/>
          <w:sz w:val="24"/>
        </w:rPr>
        <w:t>Tabla 1</w:t>
      </w:r>
    </w:p>
    <w:p>
      <w:pPr>
        <w:pStyle w:val="Normal"/>
        <w:spacing w:lineRule="auto" w:line="276" w:before="0" w:after="120"/>
        <w:ind w:hanging="0"/>
        <w:jc w:val="start"/>
        <w:rPr/>
      </w:pPr>
      <w:r>
        <w:rPr>
          <w:b w:val="false"/>
          <w:i/>
          <w:color w:val="000000"/>
          <w:sz w:val="24"/>
        </w:rPr>
        <w:t>Ficha Técnica e Identificación del Artefacto ADSO-ARQ-01</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4680"/>
        <w:gridCol w:w="4680"/>
      </w:tblGrid>
      <w:tr>
        <w:trPr/>
        <w:tc>
          <w:tcPr>
            <w:tcW w:w="4680" w:type="dxa"/>
            <w:tcBorders>
              <w:top w:val="single" w:sz="8" w:space="0" w:color="000000"/>
            </w:tcBorders>
          </w:tcPr>
          <w:p>
            <w:pPr>
              <w:pStyle w:val="Normal"/>
              <w:spacing w:lineRule="auto" w:line="276" w:before="40" w:after="40"/>
              <w:jc w:val="start"/>
              <w:rPr/>
            </w:pPr>
            <w:r>
              <w:rPr>
                <w:b/>
                <w:i w:val="false"/>
                <w:color w:val="000000"/>
                <w:sz w:val="20"/>
              </w:rPr>
              <w:t>Campo de Control</w:t>
            </w:r>
          </w:p>
        </w:tc>
        <w:tc>
          <w:tcPr>
            <w:tcW w:w="4680"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Detalle Institucional y Técnico Registrado</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Código de Artefacto</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ADSO-ARQ-01 (Versión 1.0)</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Nombre del Proyecto</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SITBIO: Aplicación de escritorio para el control, trazabilidad y gestión de mantenimientos biomédicos</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Programa de Formación</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Tecnología en Análisis y Desarrollo de Software (ADSO) - Ficha 2834821 / 2834822 / 3223875</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Centro de Formación</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Centro de la Tecnología y Manufactura Avanzada (CTMA) - SENA Regional Antioquia</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Tipo de Aplicación</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Aplicación de Escritorio Nativa desarrollada en C# / Windows Presentation Foundation (WPF) sobre .NET 8</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Arquitectura General</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Cliente-Servidor N-Capas, MVVM en cliente, API REST Backend, SaaS Multi-Tenant y Seguridad RBAC</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Ecosistema de Datos</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Persistencia Híbrida: Base de Datos Relacional (PostgreSQL) + Motor NoSQL (MongoDB para intervenciones y camposDinamicos)</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Módulo Analítico</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Pipeline de Ciencia de Datos en Python (PyMongo, Pandas DataFrames y Clustering Scikit-learn K-Means)</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Líder / Frontend WPF</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Miguel Ángel Ocampo Muñoz (Desarrollador Frontend WPF / XAML / MVVM)</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Backend / API REST</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Esteban Bedoya Rojo (Arquitecto Backend C# / API REST / JWT)</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Base de Datos / NoSQL</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Héctor Steven Cuesta (Administrador BD Relacional &amp; NoSQL MongoDB)</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Analista QA / Tester</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Juan José García Laverde (Analista de Requisitos y Calidad de Software / Tester)</w:t>
            </w:r>
          </w:p>
        </w:tc>
      </w:tr>
      <w:tr>
        <w:trPr/>
        <w:tc>
          <w:tcPr>
            <w:tcW w:w="4680" w:type="dxa"/>
            <w:tcBorders/>
            <w:tcMar>
              <w:top w:w="80" w:type="dxa"/>
              <w:bottom w:w="80" w:type="dxa"/>
            </w:tcMar>
          </w:tcPr>
          <w:p>
            <w:pPr>
              <w:pStyle w:val="Normal"/>
              <w:spacing w:lineRule="auto" w:line="276" w:before="40" w:after="40"/>
              <w:jc w:val="start"/>
              <w:rPr/>
            </w:pPr>
            <w:r>
              <w:rPr>
                <w:b w:val="false"/>
                <w:i w:val="false"/>
                <w:color w:val="000000"/>
                <w:sz w:val="19"/>
              </w:rPr>
              <w:t>Instructor Asesor SENA</w:t>
            </w:r>
          </w:p>
        </w:tc>
        <w:tc>
          <w:tcPr>
            <w:tcW w:w="4680" w:type="dxa"/>
            <w:tcBorders/>
            <w:tcMar>
              <w:top w:w="80" w:type="dxa"/>
              <w:bottom w:w="80" w:type="dxa"/>
            </w:tcMar>
          </w:tcPr>
          <w:p>
            <w:pPr>
              <w:pStyle w:val="Normal"/>
              <w:spacing w:lineRule="auto" w:line="276" w:before="40" w:after="40"/>
              <w:jc w:val="start"/>
              <w:rPr/>
            </w:pPr>
            <w:r>
              <w:rPr>
                <w:b w:val="false"/>
                <w:i w:val="false"/>
                <w:color w:val="000000"/>
                <w:sz w:val="19"/>
              </w:rPr>
              <w:t>Juan Pablo Saldarriaga</w:t>
            </w:r>
          </w:p>
        </w:tc>
      </w:tr>
      <w:tr>
        <w:trPr/>
        <w:tc>
          <w:tcPr>
            <w:tcW w:w="468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Cliente / Beneficiario</w:t>
            </w:r>
          </w:p>
        </w:tc>
        <w:tc>
          <w:tcPr>
            <w:tcW w:w="468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Instituciones Prestadoras de Servicios de Salud (IPS) y Departamentos de Ingeniería Clínica</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Especificación de arquitectura oficial coordinada con el CTMA SENA (2026).</w:t>
      </w:r>
    </w:p>
    <w:p>
      <w:pPr>
        <w:pStyle w:val="Heading3"/>
        <w:spacing w:lineRule="auto" w:line="480" w:before="120" w:after="120"/>
        <w:ind w:hanging="0"/>
        <w:jc w:val="start"/>
        <w:rPr/>
      </w:pPr>
      <w:r>
        <w:rPr>
          <w:rFonts w:ascii="Times New Roman" w:hAnsi="Times New Roman"/>
          <w:b/>
          <w:i/>
          <w:color w:val="000000"/>
          <w:sz w:val="24"/>
        </w:rPr>
        <w:t>1.2 Historial de Control de Versiones</w:t>
      </w:r>
    </w:p>
    <w:p>
      <w:pPr>
        <w:pStyle w:val="Normal"/>
        <w:spacing w:lineRule="auto" w:line="480" w:before="0" w:after="0"/>
        <w:ind w:firstLine="720"/>
        <w:jc w:val="start"/>
        <w:rPr/>
      </w:pPr>
      <w:r>
        <w:rPr>
          <w:b w:val="false"/>
          <w:i w:val="false"/>
          <w:color w:val="000000"/>
          <w:sz w:val="24"/>
        </w:rPr>
        <w:t>Para asegurar la trazabilidad metodológica en la evolución del diseño técnico, la Tabla 2 registra la bitácora de versiones del artefato de arquitectura.</w:t>
      </w:r>
    </w:p>
    <w:p>
      <w:pPr>
        <w:pStyle w:val="Normal"/>
        <w:spacing w:lineRule="auto" w:line="276" w:before="120" w:after="40"/>
        <w:ind w:hanging="0"/>
        <w:jc w:val="start"/>
        <w:rPr/>
      </w:pPr>
      <w:r>
        <w:rPr>
          <w:b/>
          <w:i w:val="false"/>
          <w:color w:val="000000"/>
          <w:sz w:val="24"/>
        </w:rPr>
        <w:t>Tabla 2</w:t>
      </w:r>
    </w:p>
    <w:p>
      <w:pPr>
        <w:pStyle w:val="Normal"/>
        <w:spacing w:lineRule="auto" w:line="276" w:before="0" w:after="120"/>
        <w:ind w:hanging="0"/>
        <w:jc w:val="start"/>
        <w:rPr/>
      </w:pPr>
      <w:r>
        <w:rPr>
          <w:b w:val="false"/>
          <w:i/>
          <w:color w:val="000000"/>
          <w:sz w:val="24"/>
        </w:rPr>
        <w:t>Historial de Control de Versiones del Artefacto ADSO-ARQ-01</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0"/>
        <w:gridCol w:w="2340"/>
        <w:gridCol w:w="2340"/>
        <w:gridCol w:w="2340"/>
      </w:tblGrid>
      <w:tr>
        <w:trPr/>
        <w:tc>
          <w:tcPr>
            <w:tcW w:w="2340" w:type="dxa"/>
            <w:tcBorders>
              <w:top w:val="single" w:sz="8" w:space="0" w:color="000000"/>
            </w:tcBorders>
          </w:tcPr>
          <w:p>
            <w:pPr>
              <w:pStyle w:val="Normal"/>
              <w:spacing w:lineRule="auto" w:line="276" w:before="40" w:after="40"/>
              <w:jc w:val="start"/>
              <w:rPr/>
            </w:pPr>
            <w:r>
              <w:rPr>
                <w:b/>
                <w:i w:val="false"/>
                <w:color w:val="000000"/>
                <w:sz w:val="20"/>
              </w:rPr>
              <w:t>Versión</w:t>
            </w:r>
          </w:p>
        </w:tc>
        <w:tc>
          <w:tcPr>
            <w:tcW w:w="2340" w:type="dxa"/>
            <w:tcBorders>
              <w:top w:val="single" w:sz="8" w:space="0" w:color="000000"/>
            </w:tcBorders>
          </w:tcPr>
          <w:p>
            <w:pPr>
              <w:pStyle w:val="Normal"/>
              <w:spacing w:lineRule="auto" w:line="276" w:before="40" w:after="40"/>
              <w:jc w:val="start"/>
              <w:rPr/>
            </w:pPr>
            <w:r>
              <w:rPr>
                <w:b/>
                <w:i w:val="false"/>
                <w:color w:val="000000"/>
                <w:sz w:val="20"/>
              </w:rPr>
              <w:t>Fecha</w:t>
            </w:r>
          </w:p>
        </w:tc>
        <w:tc>
          <w:tcPr>
            <w:tcW w:w="2340" w:type="dxa"/>
            <w:tcBorders>
              <w:top w:val="single" w:sz="8" w:space="0" w:color="000000"/>
            </w:tcBorders>
          </w:tcPr>
          <w:p>
            <w:pPr>
              <w:pStyle w:val="Normal"/>
              <w:spacing w:lineRule="auto" w:line="276" w:before="40" w:after="40"/>
              <w:jc w:val="start"/>
              <w:rPr/>
            </w:pPr>
            <w:r>
              <w:rPr>
                <w:b/>
                <w:i w:val="false"/>
                <w:color w:val="000000"/>
                <w:sz w:val="20"/>
              </w:rPr>
              <w:t>Descripción del Cambio / Ajuste Técnico</w:t>
            </w:r>
          </w:p>
        </w:tc>
        <w:tc>
          <w:tcPr>
            <w:tcW w:w="2340"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Responsable(s)</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v0.1</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15/02/2026</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Estructuración inicial de drivers arquitectónicos, bocetos C4 y selección de tecnologías.</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Equipo SITBIO</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v0.5</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15/09/2026</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Validación del patrón cliente-servidor C# WPF, diagramas de contenedores y modelo relacional.</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Equipo SITBIO</w:t>
            </w:r>
          </w:p>
        </w:tc>
      </w:tr>
      <w:tr>
        <w:trPr/>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v1.0</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19/10/2026</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Aprobación final de arquitectura: persistencia híbrida con MongoDB, motor camposDinamicos, script Python K-Means y firmas de 4 aprendices.</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Equipo SITBIO</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Gobernanza de cambios de arquitectura del software SITBIO.</w:t>
      </w:r>
    </w:p>
    <w:p>
      <w:pPr>
        <w:pStyle w:val="Heading3"/>
        <w:spacing w:lineRule="auto" w:line="480" w:before="120" w:after="120"/>
        <w:ind w:hanging="0"/>
        <w:jc w:val="start"/>
        <w:rPr/>
      </w:pPr>
      <w:r>
        <w:rPr>
          <w:rFonts w:ascii="Times New Roman" w:hAnsi="Times New Roman"/>
          <w:b/>
          <w:i/>
          <w:color w:val="000000"/>
          <w:sz w:val="24"/>
        </w:rPr>
        <w:t>1.3 Registro Oficial de Aprobaciones</w:t>
      </w:r>
    </w:p>
    <w:p>
      <w:pPr>
        <w:pStyle w:val="Normal"/>
        <w:spacing w:lineRule="auto" w:line="480" w:before="0" w:after="0"/>
        <w:ind w:firstLine="720"/>
        <w:jc w:val="start"/>
        <w:rPr/>
      </w:pPr>
      <w:r>
        <w:rPr>
          <w:b w:val="false"/>
          <w:i w:val="false"/>
          <w:color w:val="000000"/>
          <w:sz w:val="24"/>
        </w:rPr>
        <w:t>El diseño técnico fue revisado y aprobado formalmente por los cuatro integrantes del equipo técnico y el instructor asesor, según se detalla en la Tabla 3.</w:t>
      </w:r>
    </w:p>
    <w:p>
      <w:pPr>
        <w:pStyle w:val="Normal"/>
        <w:spacing w:lineRule="auto" w:line="276" w:before="120" w:after="40"/>
        <w:ind w:hanging="0"/>
        <w:jc w:val="start"/>
        <w:rPr/>
      </w:pPr>
      <w:r>
        <w:rPr>
          <w:b/>
          <w:i w:val="false"/>
          <w:color w:val="000000"/>
          <w:sz w:val="24"/>
        </w:rPr>
        <w:t>Tabla 3</w:t>
      </w:r>
    </w:p>
    <w:p>
      <w:pPr>
        <w:pStyle w:val="Normal"/>
        <w:spacing w:lineRule="auto" w:line="276" w:before="0" w:after="120"/>
        <w:ind w:hanging="0"/>
        <w:jc w:val="start"/>
        <w:rPr/>
      </w:pPr>
      <w:r>
        <w:rPr>
          <w:b w:val="false"/>
          <w:i/>
          <w:color w:val="000000"/>
          <w:sz w:val="24"/>
        </w:rPr>
        <w:t>Registro Oficial de Aprobaciones Técnicas de Arquitectura</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0"/>
        <w:gridCol w:w="2340"/>
        <w:gridCol w:w="2340"/>
        <w:gridCol w:w="2340"/>
      </w:tblGrid>
      <w:tr>
        <w:trPr/>
        <w:tc>
          <w:tcPr>
            <w:tcW w:w="2340" w:type="dxa"/>
            <w:tcBorders>
              <w:top w:val="single" w:sz="8" w:space="0" w:color="000000"/>
            </w:tcBorders>
          </w:tcPr>
          <w:p>
            <w:pPr>
              <w:pStyle w:val="Normal"/>
              <w:spacing w:lineRule="auto" w:line="276" w:before="40" w:after="40"/>
              <w:jc w:val="start"/>
              <w:rPr/>
            </w:pPr>
            <w:r>
              <w:rPr>
                <w:b/>
                <w:i w:val="false"/>
                <w:color w:val="000000"/>
                <w:sz w:val="20"/>
              </w:rPr>
              <w:t>Rol en el Proyecto</w:t>
            </w:r>
          </w:p>
        </w:tc>
        <w:tc>
          <w:tcPr>
            <w:tcW w:w="2340" w:type="dxa"/>
            <w:tcBorders>
              <w:top w:val="single" w:sz="8" w:space="0" w:color="000000"/>
            </w:tcBorders>
          </w:tcPr>
          <w:p>
            <w:pPr>
              <w:pStyle w:val="Normal"/>
              <w:spacing w:lineRule="auto" w:line="276" w:before="40" w:after="40"/>
              <w:jc w:val="start"/>
              <w:rPr/>
            </w:pPr>
            <w:r>
              <w:rPr>
                <w:b/>
                <w:i w:val="false"/>
                <w:color w:val="000000"/>
                <w:sz w:val="20"/>
              </w:rPr>
              <w:t>Nombre del Integrante</w:t>
            </w:r>
          </w:p>
        </w:tc>
        <w:tc>
          <w:tcPr>
            <w:tcW w:w="2340" w:type="dxa"/>
            <w:tcBorders>
              <w:top w:val="single" w:sz="8" w:space="0" w:color="000000"/>
            </w:tcBorders>
          </w:tcPr>
          <w:p>
            <w:pPr>
              <w:pStyle w:val="Normal"/>
              <w:spacing w:lineRule="auto" w:line="276" w:before="40" w:after="40"/>
              <w:jc w:val="start"/>
              <w:rPr/>
            </w:pPr>
            <w:r>
              <w:rPr>
                <w:b/>
                <w:i w:val="false"/>
                <w:color w:val="000000"/>
                <w:sz w:val="20"/>
              </w:rPr>
              <w:t>Decisión</w:t>
            </w:r>
          </w:p>
        </w:tc>
        <w:tc>
          <w:tcPr>
            <w:tcW w:w="2340"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Fecha de Firma</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Líder / Frontend WPF</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Miguel Ángel Ocampo Muñoz</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Aprobado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19/10/2026</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Arquitecto Backend / API</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Esteban Bedoya Rojo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Aprobado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19/10/2026</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Administrador BD / NoSQL</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Héctor Steven Cuesta</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Aprobado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19/10/2026</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Analista Requisitos / QA</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Juan José García Laverde</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Aprobado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19/10/2026</w:t>
            </w:r>
          </w:p>
        </w:tc>
      </w:tr>
      <w:tr>
        <w:trPr/>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Instructor Asesor SENA</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Juan Pablo Saldarriaga</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Aprobado</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19/10/2026</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Aprobación del equipo de desarrollo e instructor (SENA CTMA, 2026).</w:t>
      </w:r>
    </w:p>
    <w:p>
      <w:pPr>
        <w:pStyle w:val="Heading2"/>
        <w:spacing w:lineRule="auto" w:line="480" w:before="240" w:after="120"/>
        <w:ind w:hanging="0"/>
        <w:jc w:val="start"/>
        <w:rPr/>
      </w:pPr>
      <w:r>
        <w:rPr>
          <w:rFonts w:ascii="Times New Roman" w:hAnsi="Times New Roman"/>
          <w:b/>
          <w:i w:val="false"/>
          <w:color w:val="000000"/>
          <w:sz w:val="24"/>
        </w:rPr>
        <w:t>2. Propósito, Alcance y Principios Rectores</w:t>
      </w:r>
    </w:p>
    <w:p>
      <w:pPr>
        <w:pStyle w:val="Heading3"/>
        <w:spacing w:lineRule="auto" w:line="480" w:before="120" w:after="120"/>
        <w:ind w:hanging="0"/>
        <w:jc w:val="start"/>
        <w:rPr/>
      </w:pPr>
      <w:r>
        <w:rPr>
          <w:rFonts w:ascii="Times New Roman" w:hAnsi="Times New Roman"/>
          <w:b/>
          <w:i/>
          <w:color w:val="000000"/>
          <w:sz w:val="24"/>
        </w:rPr>
        <w:t>2.1 Objetivos Específicos del Diseño Técnico</w:t>
      </w:r>
    </w:p>
    <w:p>
      <w:pPr>
        <w:pStyle w:val="Normal"/>
        <w:spacing w:lineRule="auto" w:line="480" w:before="0" w:after="0"/>
        <w:ind w:firstLine="720"/>
        <w:jc w:val="start"/>
        <w:rPr/>
      </w:pPr>
      <w:r>
        <w:rPr>
          <w:b w:val="false"/>
          <w:i w:val="false"/>
          <w:color w:val="000000"/>
          <w:sz w:val="24"/>
        </w:rPr>
        <w:t>El propósito central de este documento es justificar y gobernar la solución tecnológica del sistema SITBIO. Sus objetivos específicos abarcan: 1) Definir la topología cliente-servidor para la aplicación de escritorio C# WPF; 2) Detallar la estrategia de persistencia híbrida entre PostgreSQL y MongoDB; 3) Formular los contratos de la API REST backend; 4) Establecer el esquema de seguridad RBAC y aislamiento Multi-Tenant; y 5) Describir la integración del pipeline de ciencia de datos en Python con Pandas y K-Means.</w:t>
      </w:r>
    </w:p>
    <w:p>
      <w:pPr>
        <w:pStyle w:val="Heading3"/>
        <w:spacing w:lineRule="auto" w:line="480" w:before="120" w:after="120"/>
        <w:ind w:hanging="0"/>
        <w:jc w:val="start"/>
        <w:rPr/>
      </w:pPr>
      <w:r>
        <w:rPr>
          <w:rFonts w:ascii="Times New Roman" w:hAnsi="Times New Roman"/>
          <w:b/>
          <w:i/>
          <w:color w:val="000000"/>
          <w:sz w:val="24"/>
        </w:rPr>
        <w:t>2.2 Alcance del Documento (Incluye / No Reemplaza)</w:t>
      </w:r>
    </w:p>
    <w:p>
      <w:pPr>
        <w:pStyle w:val="Normal"/>
        <w:spacing w:lineRule="auto" w:line="480" w:before="0" w:after="0"/>
        <w:ind w:firstLine="720"/>
        <w:jc w:val="start"/>
        <w:rPr/>
      </w:pPr>
      <w:r>
        <w:rPr>
          <w:b w:val="false"/>
          <w:i w:val="false"/>
          <w:color w:val="000000"/>
          <w:sz w:val="24"/>
        </w:rPr>
        <w:t>Este artefacto incluye los diagramas de arquitectura C4 (Contexto, Contenedores, Componentes), diccionario de datos relacional y NoSQL, matriz de endpoints API REST, mecanismos de cifrado, controles de observabilidad y decisiones arquitectónicas (ADRs). No reemplaza el código fuente ejecutable, la especificación de requisitos (DOC-03-ERS), el plan de pruebas (DOC-04-QA) ni las maquetas de usuario (NAV-UI-03).</w:t>
      </w:r>
    </w:p>
    <w:p>
      <w:pPr>
        <w:pStyle w:val="Heading3"/>
        <w:spacing w:lineRule="auto" w:line="480" w:before="120" w:after="120"/>
        <w:ind w:hanging="0"/>
        <w:jc w:val="start"/>
        <w:rPr/>
      </w:pPr>
      <w:r>
        <w:rPr>
          <w:rFonts w:ascii="Times New Roman" w:hAnsi="Times New Roman"/>
          <w:b/>
          <w:i/>
          <w:color w:val="000000"/>
          <w:sz w:val="24"/>
        </w:rPr>
        <w:t>2.3 Principios Rectores de Arquitectura</w:t>
      </w:r>
    </w:p>
    <w:p>
      <w:pPr>
        <w:pStyle w:val="Normal"/>
        <w:spacing w:lineRule="auto" w:line="480" w:before="0" w:after="0"/>
        <w:ind w:firstLine="720"/>
        <w:jc w:val="start"/>
        <w:rPr/>
      </w:pPr>
      <w:r>
        <w:rPr>
          <w:b w:val="false"/>
          <w:i w:val="false"/>
          <w:color w:val="000000"/>
          <w:sz w:val="24"/>
        </w:rPr>
        <w:t>La arquitectura de SITBIO se gobierna bajo cinco principios: 1) Simplicidad Pragmática (evitar la sobrearquitectura); 2) Independencia de la Lógica de Negocio (desacoplamiento de vistas WPF mediante MVVM); 3) Seguridad en Profundidad (validación estricta de RBAC y tenant_id en servidor); 4) Persistencia Adecuada al Dato (SQL para entidades estructuradas y NoSQL para datos variables); y 5) Trazabilidad Total (correlation ID en logs y bitácora de auditoría).</w:t>
      </w:r>
    </w:p>
    <w:p>
      <w:pPr>
        <w:pStyle w:val="Heading2"/>
        <w:spacing w:lineRule="auto" w:line="480" w:before="240" w:after="120"/>
        <w:ind w:hanging="0"/>
        <w:jc w:val="start"/>
        <w:rPr/>
      </w:pPr>
      <w:r>
        <w:rPr>
          <w:rFonts w:ascii="Times New Roman" w:hAnsi="Times New Roman"/>
          <w:b/>
          <w:i w:val="false"/>
          <w:color w:val="000000"/>
          <w:sz w:val="24"/>
        </w:rPr>
        <w:t>3. Relación con Otros Artefactos y Convenciones</w:t>
      </w:r>
    </w:p>
    <w:p>
      <w:pPr>
        <w:pStyle w:val="Heading3"/>
        <w:spacing w:lineRule="auto" w:line="480" w:before="120" w:after="120"/>
        <w:ind w:hanging="0"/>
        <w:jc w:val="start"/>
        <w:rPr/>
      </w:pPr>
      <w:r>
        <w:rPr>
          <w:rFonts w:ascii="Times New Roman" w:hAnsi="Times New Roman"/>
          <w:b/>
          <w:i/>
          <w:color w:val="000000"/>
          <w:sz w:val="24"/>
        </w:rPr>
        <w:t>3.1 Articulación Metodológica</w:t>
      </w:r>
    </w:p>
    <w:p>
      <w:pPr>
        <w:pStyle w:val="Normal"/>
        <w:spacing w:lineRule="auto" w:line="480" w:before="0" w:after="0"/>
        <w:ind w:firstLine="720"/>
        <w:jc w:val="start"/>
        <w:rPr/>
      </w:pPr>
      <w:r>
        <w:rPr>
          <w:b w:val="false"/>
          <w:i w:val="false"/>
          <w:color w:val="000000"/>
          <w:sz w:val="24"/>
        </w:rPr>
        <w:t>El diseño de arquitectura actúa como el puente técnico que materializa los requerimientos del proyecto. Se articula directamente con el Documento de Formulación (DOC-01-FCP), el Plan de Gestión e Interesados (DOC-02-GPI), la Especificación de Requisitos (DOC-03-ERS), el Backlog de Historias de Usuario (ADSO-BAC-01) y el Plan de Calidad (DOC-04-QA).</w:t>
      </w:r>
    </w:p>
    <w:p>
      <w:pPr>
        <w:pStyle w:val="Heading3"/>
        <w:spacing w:lineRule="auto" w:line="480" w:before="120" w:after="120"/>
        <w:ind w:hanging="0"/>
        <w:jc w:val="start"/>
        <w:rPr/>
      </w:pPr>
      <w:r>
        <w:rPr>
          <w:rFonts w:ascii="Times New Roman" w:hAnsi="Times New Roman"/>
          <w:b/>
          <w:i/>
          <w:color w:val="000000"/>
          <w:sz w:val="24"/>
        </w:rPr>
        <w:t>3.2 Convenciones de Nomenclatura y Prefijos</w:t>
      </w:r>
    </w:p>
    <w:p>
      <w:pPr>
        <w:pStyle w:val="Normal"/>
        <w:spacing w:lineRule="auto" w:line="480" w:before="0" w:after="0"/>
        <w:ind w:firstLine="720"/>
        <w:jc w:val="start"/>
        <w:rPr/>
      </w:pPr>
      <w:r>
        <w:rPr>
          <w:b w:val="false"/>
          <w:i w:val="false"/>
          <w:color w:val="000000"/>
          <w:sz w:val="24"/>
        </w:rPr>
        <w:t>Para garantizar la consistencia en el código, documentación y diagramas, se establece el siguiente estándar de prefijos: CMP-### para Componentes de Software, DAT-### para Entidades y Colecciones de Datos, API-### para Endpoints REST, ADR-### para Decisiones Arquitectónicas, RT-### para Riesgos Técnicos, DEP-### para Ambientes de Despliegue y EVT-### para Eventos/Logs.</w:t>
      </w:r>
    </w:p>
    <w:p>
      <w:pPr>
        <w:pStyle w:val="Heading2"/>
        <w:spacing w:lineRule="auto" w:line="480" w:before="240" w:after="120"/>
        <w:ind w:hanging="0"/>
        <w:jc w:val="start"/>
        <w:rPr/>
      </w:pPr>
      <w:r>
        <w:rPr>
          <w:rFonts w:ascii="Times New Roman" w:hAnsi="Times New Roman"/>
          <w:b/>
          <w:i w:val="false"/>
          <w:color w:val="000000"/>
          <w:sz w:val="24"/>
        </w:rPr>
        <w:t>4. Drivers Arquitectónicos y Atributos de Calidad</w:t>
      </w:r>
    </w:p>
    <w:p>
      <w:pPr>
        <w:pStyle w:val="Heading3"/>
        <w:spacing w:lineRule="auto" w:line="480" w:before="120" w:after="120"/>
        <w:ind w:hanging="0"/>
        <w:jc w:val="start"/>
        <w:rPr/>
      </w:pPr>
      <w:r>
        <w:rPr>
          <w:rFonts w:ascii="Times New Roman" w:hAnsi="Times New Roman"/>
          <w:b/>
          <w:i/>
          <w:color w:val="000000"/>
          <w:sz w:val="24"/>
        </w:rPr>
        <w:t>4.1 Registro de Drivers Arquitectónicos</w:t>
      </w:r>
    </w:p>
    <w:p>
      <w:pPr>
        <w:pStyle w:val="Normal"/>
        <w:spacing w:lineRule="auto" w:line="480" w:before="0" w:after="0"/>
        <w:ind w:firstLine="720"/>
        <w:jc w:val="start"/>
        <w:rPr/>
      </w:pPr>
      <w:r>
        <w:rPr>
          <w:b w:val="false"/>
          <w:i w:val="false"/>
          <w:color w:val="000000"/>
          <w:sz w:val="24"/>
        </w:rPr>
        <w:t>Los drivers arquitectónicos son los factores condicionantes que guiaron la selección del stack tecnológico y los patrones de diseño en SITBIO. En la Tabla 4 se resumen los drivers primarios.</w:t>
      </w:r>
    </w:p>
    <w:p>
      <w:pPr>
        <w:pStyle w:val="Normal"/>
        <w:spacing w:lineRule="auto" w:line="276" w:before="120" w:after="40"/>
        <w:ind w:hanging="0"/>
        <w:jc w:val="start"/>
        <w:rPr/>
      </w:pPr>
      <w:r>
        <w:rPr>
          <w:b/>
          <w:i w:val="false"/>
          <w:color w:val="000000"/>
          <w:sz w:val="24"/>
        </w:rPr>
        <w:t>Tabla 4</w:t>
      </w:r>
    </w:p>
    <w:p>
      <w:pPr>
        <w:pStyle w:val="Normal"/>
        <w:spacing w:lineRule="auto" w:line="276" w:before="0" w:after="120"/>
        <w:ind w:hanging="0"/>
        <w:jc w:val="start"/>
        <w:rPr/>
      </w:pPr>
      <w:r>
        <w:rPr>
          <w:b w:val="false"/>
          <w:i/>
          <w:color w:val="000000"/>
          <w:sz w:val="24"/>
        </w:rPr>
        <w:t>Registro de Drivers Arquitectónicos Primarios del Sistema</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ID Driver</w:t>
            </w:r>
          </w:p>
        </w:tc>
        <w:tc>
          <w:tcPr>
            <w:tcW w:w="1872" w:type="dxa"/>
            <w:tcBorders>
              <w:top w:val="single" w:sz="8" w:space="0" w:color="000000"/>
            </w:tcBorders>
          </w:tcPr>
          <w:p>
            <w:pPr>
              <w:pStyle w:val="Normal"/>
              <w:spacing w:lineRule="auto" w:line="276" w:before="40" w:after="40"/>
              <w:jc w:val="start"/>
              <w:rPr/>
            </w:pPr>
            <w:r>
              <w:rPr>
                <w:b/>
                <w:i w:val="false"/>
                <w:color w:val="000000"/>
                <w:sz w:val="20"/>
              </w:rPr>
              <w:t>Tipo</w:t>
            </w:r>
          </w:p>
        </w:tc>
        <w:tc>
          <w:tcPr>
            <w:tcW w:w="1872" w:type="dxa"/>
            <w:tcBorders>
              <w:top w:val="single" w:sz="8" w:space="0" w:color="000000"/>
            </w:tcBorders>
          </w:tcPr>
          <w:p>
            <w:pPr>
              <w:pStyle w:val="Normal"/>
              <w:spacing w:lineRule="auto" w:line="276" w:before="40" w:after="40"/>
              <w:jc w:val="start"/>
              <w:rPr/>
            </w:pPr>
            <w:r>
              <w:rPr>
                <w:b/>
                <w:i w:val="false"/>
                <w:color w:val="000000"/>
                <w:sz w:val="20"/>
              </w:rPr>
              <w:t>Descripción del Driver Técnico</w:t>
            </w:r>
          </w:p>
        </w:tc>
        <w:tc>
          <w:tcPr>
            <w:tcW w:w="1872" w:type="dxa"/>
            <w:tcBorders>
              <w:top w:val="single" w:sz="8" w:space="0" w:color="000000"/>
            </w:tcBorders>
          </w:tcPr>
          <w:p>
            <w:pPr>
              <w:pStyle w:val="Normal"/>
              <w:spacing w:lineRule="auto" w:line="276" w:before="40" w:after="40"/>
              <w:jc w:val="start"/>
              <w:rPr/>
            </w:pPr>
            <w:r>
              <w:rPr>
                <w:b/>
                <w:i w:val="false"/>
                <w:color w:val="000000"/>
                <w:sz w:val="20"/>
              </w:rPr>
              <w:t>Origen / Requisito</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Prioridad</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DRV-001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Atributo Calidad</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Cliente rico de escritorio C# WPF fluido con bajo consumo de memoria y respuesta UI rápida.</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RNF-001 / RNF-011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Alta</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DRV-002</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Persistencia Híbrida</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Manejo de intervenciones biomédicas con parámetros técnicos heterogéneos e impredecibles.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RF-005 / RF-006</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Alta</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DRV-003</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Aislamiento SaaS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Garantizar que ninguna IPS pueda acceder a los datos de otra institución (Multi-Tenant).</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RNF-005 / RN-008</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Alta</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DRV-004</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Modulo Analítico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Generación de indicadores de mantenimiento y agrupamiento K-Means sobre información sintética.</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RF-009 / RF-010</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Media</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DRV-005</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Seguridad RBAC</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Control estricto de permisos por rol autenticado con JWT y contraseñas cifradas en BCrypt.</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RF-002 / RNF-003</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Alta</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Drivers fundamentales que dictan las decisiones de diseño en SITBIO.</w:t>
      </w:r>
    </w:p>
    <w:p>
      <w:pPr>
        <w:pStyle w:val="Heading3"/>
        <w:spacing w:lineRule="auto" w:line="480" w:before="120" w:after="120"/>
        <w:ind w:hanging="0"/>
        <w:jc w:val="start"/>
        <w:rPr/>
      </w:pPr>
      <w:r>
        <w:rPr>
          <w:rFonts w:ascii="Times New Roman" w:hAnsi="Times New Roman"/>
          <w:b/>
          <w:i/>
          <w:color w:val="000000"/>
          <w:sz w:val="24"/>
        </w:rPr>
        <w:t>4.2 Atributos de Calidad Escenarizados</w:t>
      </w:r>
    </w:p>
    <w:p>
      <w:pPr>
        <w:pStyle w:val="Normal"/>
        <w:spacing w:lineRule="auto" w:line="480" w:before="0" w:after="0"/>
        <w:ind w:firstLine="720"/>
        <w:jc w:val="start"/>
        <w:rPr/>
      </w:pPr>
      <w:r>
        <w:rPr>
          <w:b w:val="false"/>
          <w:i w:val="false"/>
          <w:color w:val="000000"/>
          <w:sz w:val="24"/>
        </w:rPr>
        <w:t>En la Tabla 5 se presentan los atributos de calidad evaluados con métricas verificables.</w:t>
      </w:r>
    </w:p>
    <w:p>
      <w:pPr>
        <w:pStyle w:val="Normal"/>
        <w:spacing w:lineRule="auto" w:line="276" w:before="120" w:after="40"/>
        <w:ind w:hanging="0"/>
        <w:jc w:val="start"/>
        <w:rPr/>
      </w:pPr>
      <w:r>
        <w:rPr>
          <w:b/>
          <w:i w:val="false"/>
          <w:color w:val="000000"/>
          <w:sz w:val="24"/>
        </w:rPr>
        <w:t>Tabla 5</w:t>
      </w:r>
    </w:p>
    <w:p>
      <w:pPr>
        <w:pStyle w:val="Normal"/>
        <w:spacing w:lineRule="auto" w:line="276" w:before="0" w:after="120"/>
        <w:ind w:hanging="0"/>
        <w:jc w:val="start"/>
        <w:rPr/>
      </w:pPr>
      <w:r>
        <w:rPr>
          <w:b w:val="false"/>
          <w:i/>
          <w:color w:val="000000"/>
          <w:sz w:val="24"/>
        </w:rPr>
        <w:t>Atributos de Calidad Escenarizados y Mecanismos de Verificación</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0"/>
        <w:gridCol w:w="2340"/>
        <w:gridCol w:w="2340"/>
        <w:gridCol w:w="2340"/>
      </w:tblGrid>
      <w:tr>
        <w:trPr/>
        <w:tc>
          <w:tcPr>
            <w:tcW w:w="2340" w:type="dxa"/>
            <w:tcBorders>
              <w:top w:val="single" w:sz="8" w:space="0" w:color="000000"/>
            </w:tcBorders>
          </w:tcPr>
          <w:p>
            <w:pPr>
              <w:pStyle w:val="Normal"/>
              <w:spacing w:lineRule="auto" w:line="276" w:before="40" w:after="40"/>
              <w:jc w:val="start"/>
              <w:rPr/>
            </w:pPr>
            <w:r>
              <w:rPr>
                <w:b/>
                <w:i w:val="false"/>
                <w:color w:val="000000"/>
                <w:sz w:val="20"/>
              </w:rPr>
              <w:t>Atributo</w:t>
            </w:r>
          </w:p>
        </w:tc>
        <w:tc>
          <w:tcPr>
            <w:tcW w:w="2340" w:type="dxa"/>
            <w:tcBorders>
              <w:top w:val="single" w:sz="8" w:space="0" w:color="000000"/>
            </w:tcBorders>
          </w:tcPr>
          <w:p>
            <w:pPr>
              <w:pStyle w:val="Normal"/>
              <w:spacing w:lineRule="auto" w:line="276" w:before="40" w:after="40"/>
              <w:jc w:val="start"/>
              <w:rPr/>
            </w:pPr>
            <w:r>
              <w:rPr>
                <w:b/>
                <w:i w:val="false"/>
                <w:color w:val="000000"/>
                <w:sz w:val="20"/>
              </w:rPr>
              <w:t>Escenario de Evaluación</w:t>
            </w:r>
          </w:p>
        </w:tc>
        <w:tc>
          <w:tcPr>
            <w:tcW w:w="2340" w:type="dxa"/>
            <w:tcBorders>
              <w:top w:val="single" w:sz="8" w:space="0" w:color="000000"/>
            </w:tcBorders>
          </w:tcPr>
          <w:p>
            <w:pPr>
              <w:pStyle w:val="Normal"/>
              <w:spacing w:lineRule="auto" w:line="276" w:before="40" w:after="40"/>
              <w:jc w:val="start"/>
              <w:rPr/>
            </w:pPr>
            <w:r>
              <w:rPr>
                <w:b/>
                <w:i w:val="false"/>
                <w:color w:val="000000"/>
                <w:sz w:val="20"/>
              </w:rPr>
              <w:t>Métrica / Umbral Objetivo</w:t>
            </w:r>
          </w:p>
        </w:tc>
        <w:tc>
          <w:tcPr>
            <w:tcW w:w="2340"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Mecanismo Técnico</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Rendimiento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Consulta de inventario de 5,000 equipos desde el cliente WPF.</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Tiempo respuesta &lt; 1.5s (p95)</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Paginación API + Índices SQL/NoSQL</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Disponibilidad</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Operación continua de la API REST durante jornadas de evaluación.</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Disponibilidad &gt;= 95%</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Manejo global de excepciones</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Seguridad</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Intento de llamada a endpoint administrativo por un Técnico.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Respuesta HTTP 403 Forbidden</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Middleware RBAC con JWT</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Mantenibilidad</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Modificación del diseño visual de un formulario de captura.</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Cero impacto en lógica C#</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Patrón MVVM y Data Binding XAML</w:t>
            </w:r>
          </w:p>
        </w:tc>
      </w:tr>
      <w:tr>
        <w:trPr/>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Portabilidad</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Instalación del cliente ejecutable en PC Windows limpio.</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Ejecución sin software previo</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Runtime .NET 8 autocontenido</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Métricas cualitativas y cuantitativas alineadas con ISO/IEC 25010.</w:t>
      </w:r>
    </w:p>
    <w:p>
      <w:pPr>
        <w:pStyle w:val="Heading3"/>
        <w:spacing w:lineRule="auto" w:line="480" w:before="120" w:after="120"/>
        <w:ind w:hanging="0"/>
        <w:jc w:val="start"/>
        <w:rPr/>
      </w:pPr>
      <w:r>
        <w:rPr>
          <w:rFonts w:ascii="Times New Roman" w:hAnsi="Times New Roman"/>
          <w:b/>
          <w:i/>
          <w:color w:val="000000"/>
          <w:sz w:val="24"/>
        </w:rPr>
        <w:t>4.3 Restricciones Técnicas y Organizacionales</w:t>
      </w:r>
    </w:p>
    <w:p>
      <w:pPr>
        <w:pStyle w:val="Normal"/>
        <w:spacing w:lineRule="auto" w:line="480" w:before="0" w:after="0"/>
        <w:ind w:firstLine="720"/>
        <w:jc w:val="start"/>
        <w:rPr/>
      </w:pPr>
      <w:r>
        <w:rPr>
          <w:b w:val="false"/>
          <w:i w:val="false"/>
          <w:color w:val="000000"/>
          <w:sz w:val="24"/>
        </w:rPr>
        <w:t>El proyecto está sujeto a tres restricciones no negociables: 1) Límite temporal de 12 semanas académicas lectivas en el SENA CTMA; 2) Presupuesto $0 COP en licencias, exigiendo herramientas de código abierto o uso libre (VS Community, PostgreSQL, MongoDB Community, Python); y 3) Despliegue en estaciones de trabajo hospitalarias con sistema operativo Windows 10/11.</w:t>
      </w:r>
    </w:p>
    <w:p>
      <w:pPr>
        <w:pStyle w:val="Heading3"/>
        <w:spacing w:lineRule="auto" w:line="480" w:before="120" w:after="120"/>
        <w:ind w:hanging="0"/>
        <w:jc w:val="start"/>
        <w:rPr/>
      </w:pPr>
      <w:r>
        <w:rPr>
          <w:rFonts w:ascii="Times New Roman" w:hAnsi="Times New Roman"/>
          <w:b/>
          <w:i/>
          <w:color w:val="000000"/>
          <w:sz w:val="24"/>
        </w:rPr>
        <w:t>4.4 Volumen y Capacidad Esperada</w:t>
      </w:r>
    </w:p>
    <w:p>
      <w:pPr>
        <w:pStyle w:val="Normal"/>
        <w:spacing w:lineRule="auto" w:line="480" w:before="0" w:after="0"/>
        <w:ind w:firstLine="720"/>
        <w:jc w:val="start"/>
        <w:rPr/>
      </w:pPr>
      <w:r>
        <w:rPr>
          <w:b w:val="false"/>
          <w:i w:val="false"/>
          <w:color w:val="000000"/>
          <w:sz w:val="24"/>
        </w:rPr>
        <w:t>Se dimensiona el sistema para soportar hasta 20 usuarios concurrentes por tenant hospitalario, con un promedio de 5,000 activos biomédicos por institución, procesando más de 500 órdenes de trabajo mensuales y almacenando documentos BSON con un tamaño promedio de 4 KB por intervención.</w:t>
      </w:r>
    </w:p>
    <w:p>
      <w:pPr>
        <w:pStyle w:val="Heading2"/>
        <w:spacing w:lineRule="auto" w:line="480" w:before="240" w:after="120"/>
        <w:ind w:hanging="0"/>
        <w:jc w:val="start"/>
        <w:rPr/>
      </w:pPr>
      <w:r>
        <w:rPr>
          <w:rFonts w:ascii="Times New Roman" w:hAnsi="Times New Roman"/>
          <w:b/>
          <w:i w:val="false"/>
          <w:color w:val="000000"/>
          <w:sz w:val="24"/>
        </w:rPr>
        <w:t>5. Contexto y Fronteras del Sistema</w:t>
      </w:r>
    </w:p>
    <w:p>
      <w:pPr>
        <w:pStyle w:val="Heading3"/>
        <w:spacing w:lineRule="auto" w:line="480" w:before="120" w:after="120"/>
        <w:ind w:hanging="0"/>
        <w:jc w:val="start"/>
        <w:rPr/>
      </w:pPr>
      <w:r>
        <w:rPr>
          <w:rFonts w:ascii="Times New Roman" w:hAnsi="Times New Roman"/>
          <w:b/>
          <w:i/>
          <w:color w:val="000000"/>
          <w:sz w:val="24"/>
        </w:rPr>
        <w:t>5.1 Descripción del Contexto Operativo</w:t>
      </w:r>
    </w:p>
    <w:p>
      <w:pPr>
        <w:pStyle w:val="Normal"/>
        <w:spacing w:lineRule="auto" w:line="480" w:before="0" w:after="0"/>
        <w:ind w:firstLine="720"/>
        <w:jc w:val="start"/>
        <w:rPr/>
      </w:pPr>
      <w:r>
        <w:rPr>
          <w:b w:val="false"/>
          <w:i w:val="false"/>
          <w:color w:val="000000"/>
          <w:sz w:val="24"/>
        </w:rPr>
        <w:t>SITBIO opera en el entorno intrahospitalario conectando a los actores asistenciales (médicos/enfermeros) y técnicos (ingenieros/técnicos biomédicos) con los servidores backend de la institución o nube privada, aislando completamente las operaciones entre distintas IPS.</w:t>
      </w:r>
    </w:p>
    <w:p>
      <w:pPr>
        <w:pStyle w:val="Heading3"/>
        <w:spacing w:lineRule="auto" w:line="480" w:before="120" w:after="120"/>
        <w:ind w:hanging="0"/>
        <w:jc w:val="start"/>
        <w:rPr/>
      </w:pPr>
      <w:r>
        <w:rPr>
          <w:rFonts w:ascii="Times New Roman" w:hAnsi="Times New Roman"/>
          <w:b/>
          <w:i/>
          <w:color w:val="000000"/>
          <w:sz w:val="24"/>
        </w:rPr>
        <w:t>5.2 Catálogo de Actores y Sistemas Externos</w:t>
      </w:r>
    </w:p>
    <w:p>
      <w:pPr>
        <w:pStyle w:val="Normal"/>
        <w:spacing w:lineRule="auto" w:line="480" w:before="0" w:after="0"/>
        <w:ind w:firstLine="720"/>
        <w:jc w:val="start"/>
        <w:rPr/>
      </w:pPr>
      <w:r>
        <w:rPr>
          <w:b w:val="false"/>
          <w:i w:val="false"/>
          <w:color w:val="000000"/>
          <w:sz w:val="24"/>
        </w:rPr>
        <w:t>En la Tabla 6 se caracterizan los actores y subsistemas que interactúan con SITBIO.</w:t>
      </w:r>
    </w:p>
    <w:p>
      <w:pPr>
        <w:pStyle w:val="Normal"/>
        <w:spacing w:lineRule="auto" w:line="276" w:before="120" w:after="40"/>
        <w:ind w:hanging="0"/>
        <w:jc w:val="start"/>
        <w:rPr/>
      </w:pPr>
      <w:r>
        <w:rPr>
          <w:b/>
          <w:i w:val="false"/>
          <w:color w:val="000000"/>
          <w:sz w:val="24"/>
        </w:rPr>
        <w:t>Tabla 6</w:t>
      </w:r>
    </w:p>
    <w:p>
      <w:pPr>
        <w:pStyle w:val="Normal"/>
        <w:spacing w:lineRule="auto" w:line="276" w:before="0" w:after="120"/>
        <w:ind w:hanging="0"/>
        <w:jc w:val="start"/>
        <w:rPr/>
      </w:pPr>
      <w:r>
        <w:rPr>
          <w:b w:val="false"/>
          <w:i/>
          <w:color w:val="000000"/>
          <w:sz w:val="24"/>
        </w:rPr>
        <w:t>Catálogo de Actores y Sistemas Externos Interconectados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ID Actor/Sistema</w:t>
            </w:r>
          </w:p>
        </w:tc>
        <w:tc>
          <w:tcPr>
            <w:tcW w:w="1872" w:type="dxa"/>
            <w:tcBorders>
              <w:top w:val="single" w:sz="8" w:space="0" w:color="000000"/>
            </w:tcBorders>
          </w:tcPr>
          <w:p>
            <w:pPr>
              <w:pStyle w:val="Normal"/>
              <w:spacing w:lineRule="auto" w:line="276" w:before="40" w:after="40"/>
              <w:jc w:val="start"/>
              <w:rPr/>
            </w:pPr>
            <w:r>
              <w:rPr>
                <w:b/>
                <w:i w:val="false"/>
                <w:color w:val="000000"/>
                <w:sz w:val="20"/>
              </w:rPr>
              <w:t>Nombre / Rol</w:t>
            </w:r>
          </w:p>
        </w:tc>
        <w:tc>
          <w:tcPr>
            <w:tcW w:w="1872" w:type="dxa"/>
            <w:tcBorders>
              <w:top w:val="single" w:sz="8" w:space="0" w:color="000000"/>
            </w:tcBorders>
          </w:tcPr>
          <w:p>
            <w:pPr>
              <w:pStyle w:val="Normal"/>
              <w:spacing w:lineRule="auto" w:line="276" w:before="40" w:after="40"/>
              <w:jc w:val="start"/>
              <w:rPr/>
            </w:pPr>
            <w:r>
              <w:rPr>
                <w:b/>
                <w:i w:val="false"/>
                <w:color w:val="000000"/>
                <w:sz w:val="20"/>
              </w:rPr>
              <w:t>Tipo Interacción</w:t>
            </w:r>
          </w:p>
        </w:tc>
        <w:tc>
          <w:tcPr>
            <w:tcW w:w="1872" w:type="dxa"/>
            <w:tcBorders>
              <w:top w:val="single" w:sz="8" w:space="0" w:color="000000"/>
            </w:tcBorders>
          </w:tcPr>
          <w:p>
            <w:pPr>
              <w:pStyle w:val="Normal"/>
              <w:spacing w:lineRule="auto" w:line="276" w:before="40" w:after="40"/>
              <w:jc w:val="start"/>
              <w:rPr/>
            </w:pPr>
            <w:r>
              <w:rPr>
                <w:b/>
                <w:i w:val="false"/>
                <w:color w:val="000000"/>
                <w:sz w:val="20"/>
              </w:rPr>
              <w:t>Protocolo / Formato</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Responsabilidad en SITBIO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AC-01 / ST-04</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Admin SaaS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Interfaz WPF Escritorio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HTTPS / 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Gestión de tenants, usuarios, roles y camposDinamicos.</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AC-02 / ST-02</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Ingeniero Biomédico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Interfaz WPF Escritorio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HTTPS / 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Aprobación de OTs, inventario, calibración e indicadores K-Means.</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AC-03 / ST-03</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Técnico Mantenimiento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Interfaz WPF Escritorio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HTTPS / 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Ejecución de OTs, registro BSON y diligenciamiento de campos.</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AC-04 / ST-05</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Personal Asistencial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Interfaz WPF Escritorio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HTTPS / 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Radicación rápida de fallas y seguimiento de tiquetes.</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AC-05 / ST-01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Gerente Hospitalario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Interfaz WPF Escritorio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HTTPS / 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Consulta de tableros gerenciales y reportes de costo/tiempo.</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EXT-001</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Servicio SMTP Mail</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API Backend REST</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SMTP / TLS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Envío automatizado de invitaciones y notificaciones de token.</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Interacciones de los actores del sistema SITBIO.</w:t>
      </w:r>
    </w:p>
    <w:p>
      <w:pPr>
        <w:pStyle w:val="Heading3"/>
        <w:spacing w:lineRule="auto" w:line="480" w:before="120" w:after="120"/>
        <w:ind w:hanging="0"/>
        <w:jc w:val="start"/>
        <w:rPr/>
      </w:pPr>
      <w:r>
        <w:rPr>
          <w:rFonts w:ascii="Times New Roman" w:hAnsi="Times New Roman"/>
          <w:b/>
          <w:i/>
          <w:color w:val="000000"/>
          <w:sz w:val="24"/>
        </w:rPr>
        <w:t>5.3 Diagrama de Contexto (C4 Nivel 1)</w:t>
      </w:r>
    </w:p>
    <w:p>
      <w:pPr>
        <w:pStyle w:val="Normal"/>
        <w:spacing w:lineRule="auto" w:line="480" w:before="0" w:after="0"/>
        <w:ind w:firstLine="720"/>
        <w:jc w:val="start"/>
        <w:rPr>
          <w:rFonts w:ascii="Times New Roman" w:hAnsi="Times New Roman"/>
          <w:b w:val="false"/>
          <w:i w:val="false"/>
          <w:color w:val="000000"/>
          <w:sz w:val="24"/>
        </w:rPr>
      </w:pPr>
      <w:r>
        <w:rPr>
          <w:b w:val="false"/>
          <w:i w:val="false"/>
          <w:color w:val="000000"/>
          <w:sz w:val="24"/>
        </w:rPr>
        <w:t>El Diagrama de Contexto C4 (Nivel 1) ubica a SITBIO como el nodo central que recibe solicitudes del Personal Asistencial, gestiona la asignación de los Ingenieros Biomédicos, canaliza las intervenciones de los Técnicos en MongoDB y provee reportes ejecutivos a los Gerentes, comunicándose externamente con servidores SMTP para notificaciones.</w:t>
      </w:r>
    </w:p>
    <w:p>
      <w:pPr>
        <w:pStyle w:val="Normal"/>
        <w:spacing w:lineRule="auto" w:line="480" w:before="0" w:after="0"/>
        <w:ind w:firstLine="720"/>
        <w:jc w:val="start"/>
        <w:rPr>
          <w:rFonts w:ascii="Times New Roman" w:hAnsi="Times New Roman"/>
          <w:b w:val="false"/>
          <w:i w:val="false"/>
          <w:color w:val="000000"/>
          <w:sz w:val="24"/>
        </w:rPr>
      </w:pPr>
      <w:r>
        <w:rPr>
          <w:b w:val="false"/>
          <w:i w:val="false"/>
          <w:color w:val="000000"/>
          <w:sz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33565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943600" cy="3335655"/>
                    </a:xfrm>
                    <a:prstGeom prst="rect">
                      <a:avLst/>
                    </a:prstGeom>
                    <a:noFill/>
                  </pic:spPr>
                </pic:pic>
              </a:graphicData>
            </a:graphic>
          </wp:anchor>
        </w:drawing>
      </w:r>
    </w:p>
    <w:p>
      <w:pPr>
        <w:pStyle w:val="Heading3"/>
        <w:spacing w:lineRule="auto" w:line="480" w:before="120" w:after="120"/>
        <w:ind w:hanging="0"/>
        <w:jc w:val="start"/>
        <w:rPr/>
      </w:pPr>
      <w:r>
        <w:rPr>
          <w:rFonts w:ascii="Times New Roman" w:hAnsi="Times New Roman"/>
          <w:b/>
          <w:i/>
          <w:color w:val="000000"/>
          <w:sz w:val="24"/>
        </w:rPr>
        <w:t>5.4 Límites y Responsabilidades</w:t>
      </w:r>
    </w:p>
    <w:p>
      <w:pPr>
        <w:pStyle w:val="Normal"/>
        <w:spacing w:lineRule="auto" w:line="480" w:before="0" w:after="0"/>
        <w:ind w:firstLine="720"/>
        <w:jc w:val="start"/>
        <w:rPr/>
      </w:pPr>
      <w:r>
        <w:rPr>
          <w:b w:val="false"/>
          <w:i w:val="false"/>
          <w:color w:val="000000"/>
          <w:sz w:val="24"/>
        </w:rPr>
        <w:t>SITBIO asume la responsabilidad total del control de ciclo de vida de mantenimientos, hojas de vida y trazabilidad NoSQL. Se excluyen expresamente la facturación electrónica, la gestión de nómina hospitalaria y la conexión directa con historias clínicas de pacientes (HIS/ERP).</w:t>
      </w:r>
    </w:p>
    <w:p>
      <w:pPr>
        <w:pStyle w:val="Heading2"/>
        <w:spacing w:lineRule="auto" w:line="480" w:before="240" w:after="120"/>
        <w:ind w:hanging="0"/>
        <w:jc w:val="start"/>
        <w:rPr/>
      </w:pPr>
      <w:r>
        <w:rPr>
          <w:rFonts w:ascii="Times New Roman" w:hAnsi="Times New Roman"/>
          <w:b/>
          <w:i w:val="false"/>
          <w:color w:val="000000"/>
          <w:sz w:val="24"/>
        </w:rPr>
        <w:t>6. Alternativas Evaluadas y Patrón Arquitectónico Seleccionado</w:t>
      </w:r>
    </w:p>
    <w:p>
      <w:pPr>
        <w:pStyle w:val="Heading3"/>
        <w:spacing w:lineRule="auto" w:line="480" w:before="120" w:after="120"/>
        <w:ind w:hanging="0"/>
        <w:jc w:val="start"/>
        <w:rPr/>
      </w:pPr>
      <w:r>
        <w:rPr>
          <w:rFonts w:ascii="Times New Roman" w:hAnsi="Times New Roman"/>
          <w:b/>
          <w:i/>
          <w:color w:val="000000"/>
          <w:sz w:val="24"/>
        </w:rPr>
        <w:t>6.1 Evaluación de Alternativas Tecnológicas</w:t>
      </w:r>
    </w:p>
    <w:p>
      <w:pPr>
        <w:pStyle w:val="Normal"/>
        <w:spacing w:lineRule="auto" w:line="480" w:before="0" w:after="0"/>
        <w:ind w:firstLine="720"/>
        <w:jc w:val="start"/>
        <w:rPr/>
      </w:pPr>
      <w:r>
        <w:rPr>
          <w:b w:val="false"/>
          <w:i w:val="false"/>
          <w:color w:val="000000"/>
          <w:sz w:val="24"/>
        </w:rPr>
        <w:t>Se evaluaron tres alternativas de arquitectura: 1) Monolito Web Responsivo (descartado por restricciones de tiempo en maquetación CSS/JS compleja); 2) Microservicios Distribuidos (descartado por sobrearquitectura y complejidad de despliegue); y 3) Aplicación de Escritorio C# WPF Cliente-Servidor (seleccionada). En la Tabla 7 se sintetiza la evaluación.</w:t>
      </w:r>
    </w:p>
    <w:p>
      <w:pPr>
        <w:pStyle w:val="Normal"/>
        <w:spacing w:lineRule="auto" w:line="276" w:before="120" w:after="40"/>
        <w:ind w:hanging="0"/>
        <w:jc w:val="start"/>
        <w:rPr/>
      </w:pPr>
      <w:r>
        <w:rPr>
          <w:b/>
          <w:i w:val="false"/>
          <w:color w:val="000000"/>
          <w:sz w:val="24"/>
        </w:rPr>
        <w:t>Tabla 7</w:t>
      </w:r>
    </w:p>
    <w:p>
      <w:pPr>
        <w:pStyle w:val="Normal"/>
        <w:spacing w:lineRule="auto" w:line="276" w:before="0" w:after="120"/>
        <w:ind w:hanging="0"/>
        <w:jc w:val="start"/>
        <w:rPr/>
      </w:pPr>
      <w:r>
        <w:rPr>
          <w:b w:val="false"/>
          <w:i/>
          <w:color w:val="000000"/>
          <w:sz w:val="24"/>
        </w:rPr>
        <w:t>Evaluación Comparativa de Alternativas de Arquitectura</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Alternativa Evaluada</w:t>
            </w:r>
          </w:p>
        </w:tc>
        <w:tc>
          <w:tcPr>
            <w:tcW w:w="1872" w:type="dxa"/>
            <w:tcBorders>
              <w:top w:val="single" w:sz="8" w:space="0" w:color="000000"/>
            </w:tcBorders>
          </w:tcPr>
          <w:p>
            <w:pPr>
              <w:pStyle w:val="Normal"/>
              <w:spacing w:lineRule="auto" w:line="276" w:before="40" w:after="40"/>
              <w:jc w:val="start"/>
              <w:rPr/>
            </w:pPr>
            <w:r>
              <w:rPr>
                <w:b/>
                <w:i w:val="false"/>
                <w:color w:val="000000"/>
                <w:sz w:val="20"/>
              </w:rPr>
              <w:t>Ventajas Principales</w:t>
            </w:r>
          </w:p>
        </w:tc>
        <w:tc>
          <w:tcPr>
            <w:tcW w:w="1872" w:type="dxa"/>
            <w:tcBorders>
              <w:top w:val="single" w:sz="8" w:space="0" w:color="000000"/>
            </w:tcBorders>
          </w:tcPr>
          <w:p>
            <w:pPr>
              <w:pStyle w:val="Normal"/>
              <w:spacing w:lineRule="auto" w:line="276" w:before="40" w:after="40"/>
              <w:jc w:val="start"/>
              <w:rPr/>
            </w:pPr>
            <w:r>
              <w:rPr>
                <w:b/>
                <w:i w:val="false"/>
                <w:color w:val="000000"/>
                <w:sz w:val="20"/>
              </w:rPr>
              <w:t>Desventajas / Riesgos</w:t>
            </w:r>
          </w:p>
        </w:tc>
        <w:tc>
          <w:tcPr>
            <w:tcW w:w="1872" w:type="dxa"/>
            <w:tcBorders>
              <w:top w:val="single" w:sz="8" w:space="0" w:color="000000"/>
            </w:tcBorders>
          </w:tcPr>
          <w:p>
            <w:pPr>
              <w:pStyle w:val="Normal"/>
              <w:spacing w:lineRule="auto" w:line="276" w:before="40" w:after="40"/>
              <w:jc w:val="start"/>
              <w:rPr/>
            </w:pPr>
            <w:r>
              <w:rPr>
                <w:b/>
                <w:i w:val="false"/>
                <w:color w:val="000000"/>
                <w:sz w:val="20"/>
              </w:rPr>
              <w:t>Ajuste a Cronograma</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Decisión Final</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Monolito Web Responsivo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Acceso desde navegadores.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Alto tiempo de diseño UI y compatibilidad CSS.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Bajo (Riesgo entrega)</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Descartado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Microservicios Docker</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Escalabilidad independiente.</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Complejidad alta de orquestación y devops.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Muy Bajo (Sobrecosto)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Descartado</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Cliente-Servidor C# WPF</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Desarrollo rápido, experiencia nativa rica, alto rendimiento local.</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Requiere instalación cliente en Windows.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Excelente (12 semanas)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SELECCIONADO</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Análisis de decisiones técnicas fundamentadas en el tiempo académico.</w:t>
      </w:r>
    </w:p>
    <w:p>
      <w:pPr>
        <w:pStyle w:val="Heading3"/>
        <w:spacing w:lineRule="auto" w:line="480" w:before="120" w:after="120"/>
        <w:ind w:hanging="0"/>
        <w:jc w:val="start"/>
        <w:rPr/>
      </w:pPr>
      <w:r>
        <w:rPr>
          <w:rFonts w:ascii="Times New Roman" w:hAnsi="Times New Roman"/>
          <w:b/>
          <w:i/>
          <w:color w:val="000000"/>
          <w:sz w:val="24"/>
        </w:rPr>
        <w:t>6.2 Patrón Seleccionado (Cliente-Servidor N-Capas + MVVM)</w:t>
      </w:r>
    </w:p>
    <w:p>
      <w:pPr>
        <w:pStyle w:val="Normal"/>
        <w:spacing w:lineRule="auto" w:line="480" w:before="0" w:after="0"/>
        <w:ind w:firstLine="720"/>
        <w:jc w:val="start"/>
        <w:rPr/>
      </w:pPr>
      <w:r>
        <w:rPr>
          <w:b w:val="false"/>
          <w:i w:val="false"/>
          <w:color w:val="000000"/>
          <w:sz w:val="24"/>
        </w:rPr>
        <w:t>Se seleccionó el patrón Cliente-Servidor estructurado en N-Capas. En el cliente ejecutable se adopta el patrón MVVM (Model-View-ViewModel), logrando la separación total entre la interfaz XAML y la lógica de presentación C#. El backend API REST se organiza en capas de Controladores, Servicios de Negocio, Repositorios SQL (EF Core) y Repositorios NoSQL (MongoDB Driver).</w:t>
      </w:r>
    </w:p>
    <w:p>
      <w:pPr>
        <w:pStyle w:val="Heading3"/>
        <w:spacing w:lineRule="auto" w:line="480" w:before="120" w:after="120"/>
        <w:ind w:hanging="0"/>
        <w:jc w:val="start"/>
        <w:rPr/>
      </w:pPr>
      <w:r>
        <w:rPr>
          <w:rFonts w:ascii="Times New Roman" w:hAnsi="Times New Roman"/>
          <w:b/>
          <w:i/>
          <w:color w:val="000000"/>
          <w:sz w:val="24"/>
        </w:rPr>
        <w:t>6.3 Stack Tecnológico Oficial</w:t>
      </w:r>
    </w:p>
    <w:p>
      <w:pPr>
        <w:pStyle w:val="Normal"/>
        <w:spacing w:lineRule="auto" w:line="480" w:before="0" w:after="0"/>
        <w:ind w:firstLine="720"/>
        <w:jc w:val="start"/>
        <w:rPr/>
      </w:pPr>
      <w:r>
        <w:rPr>
          <w:b w:val="false"/>
          <w:i w:val="false"/>
          <w:color w:val="000000"/>
          <w:sz w:val="24"/>
        </w:rPr>
        <w:t>En la Tabla 8 se consolida el stack de tecnologías aprobadas para la implementación.</w:t>
      </w:r>
    </w:p>
    <w:p>
      <w:pPr>
        <w:pStyle w:val="Normal"/>
        <w:spacing w:lineRule="auto" w:line="276" w:before="120" w:after="40"/>
        <w:ind w:hanging="0"/>
        <w:jc w:val="start"/>
        <w:rPr/>
      </w:pPr>
      <w:r>
        <w:rPr>
          <w:b/>
          <w:i w:val="false"/>
          <w:color w:val="000000"/>
          <w:sz w:val="24"/>
        </w:rPr>
        <w:t>Tabla 8</w:t>
      </w:r>
    </w:p>
    <w:p>
      <w:pPr>
        <w:pStyle w:val="Normal"/>
        <w:spacing w:lineRule="auto" w:line="276" w:before="0" w:after="120"/>
        <w:ind w:hanging="0"/>
        <w:jc w:val="start"/>
        <w:rPr/>
      </w:pPr>
      <w:r>
        <w:rPr>
          <w:b w:val="false"/>
          <w:i/>
          <w:color w:val="000000"/>
          <w:sz w:val="24"/>
        </w:rPr>
        <w:t>Stack Tecnológico Oficial del Proyecto SITBIO</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340"/>
        <w:gridCol w:w="2340"/>
        <w:gridCol w:w="2340"/>
        <w:gridCol w:w="2340"/>
      </w:tblGrid>
      <w:tr>
        <w:trPr/>
        <w:tc>
          <w:tcPr>
            <w:tcW w:w="2340" w:type="dxa"/>
            <w:tcBorders>
              <w:top w:val="single" w:sz="8" w:space="0" w:color="000000"/>
            </w:tcBorders>
          </w:tcPr>
          <w:p>
            <w:pPr>
              <w:pStyle w:val="Normal"/>
              <w:spacing w:lineRule="auto" w:line="276" w:before="40" w:after="40"/>
              <w:jc w:val="start"/>
              <w:rPr/>
            </w:pPr>
            <w:r>
              <w:rPr>
                <w:b/>
                <w:i w:val="false"/>
                <w:color w:val="000000"/>
                <w:sz w:val="20"/>
              </w:rPr>
              <w:t>Capa / Dominio</w:t>
            </w:r>
          </w:p>
        </w:tc>
        <w:tc>
          <w:tcPr>
            <w:tcW w:w="2340" w:type="dxa"/>
            <w:tcBorders>
              <w:top w:val="single" w:sz="8" w:space="0" w:color="000000"/>
            </w:tcBorders>
          </w:tcPr>
          <w:p>
            <w:pPr>
              <w:pStyle w:val="Normal"/>
              <w:spacing w:lineRule="auto" w:line="276" w:before="40" w:after="40"/>
              <w:jc w:val="start"/>
              <w:rPr/>
            </w:pPr>
            <w:r>
              <w:rPr>
                <w:b/>
                <w:i w:val="false"/>
                <w:color w:val="000000"/>
                <w:sz w:val="20"/>
              </w:rPr>
              <w:t>Tecnología / Versión</w:t>
            </w:r>
          </w:p>
        </w:tc>
        <w:tc>
          <w:tcPr>
            <w:tcW w:w="2340" w:type="dxa"/>
            <w:tcBorders>
              <w:top w:val="single" w:sz="8" w:space="0" w:color="000000"/>
            </w:tcBorders>
          </w:tcPr>
          <w:p>
            <w:pPr>
              <w:pStyle w:val="Normal"/>
              <w:spacing w:lineRule="auto" w:line="276" w:before="40" w:after="40"/>
              <w:jc w:val="start"/>
              <w:rPr/>
            </w:pPr>
            <w:r>
              <w:rPr>
                <w:b/>
                <w:i w:val="false"/>
                <w:color w:val="000000"/>
                <w:sz w:val="20"/>
              </w:rPr>
              <w:t>Propósito en SITBIO</w:t>
            </w:r>
          </w:p>
        </w:tc>
        <w:tc>
          <w:tcPr>
            <w:tcW w:w="2340"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Justificación Técnica</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Frontend Escritorio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C# / WPF (.NET 8.0)</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Interfaz gráfica ejecutable rica</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Alto rendimiento, maquetación XAML y MVVM nativo.</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Backend API REST</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ASP.NET Core 8.0 Web API</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Servicios REST HTTP/JSON</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Arquitectura sólida, rendimiento sobresaliente y JWT nativo.</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Base de Datos SQL</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PostgreSQL 16 / SQL Server</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Persistencia relacional core</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Aislamiento multi-tenant, ACID e integridad referencial.</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Base de Datos NoSQL</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MongoDB Community 7.0</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Intervenciones y camposDinamicos</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Esquema BSON flexible, rendimiento de escritura en documentos.</w:t>
            </w:r>
          </w:p>
        </w:tc>
      </w:tr>
      <w:tr>
        <w:trPr/>
        <w:tc>
          <w:tcPr>
            <w:tcW w:w="2340" w:type="dxa"/>
            <w:tcBorders/>
            <w:tcMar>
              <w:top w:w="80" w:type="dxa"/>
              <w:bottom w:w="80" w:type="dxa"/>
            </w:tcMar>
          </w:tcPr>
          <w:p>
            <w:pPr>
              <w:pStyle w:val="Normal"/>
              <w:spacing w:lineRule="auto" w:line="276" w:before="40" w:after="40"/>
              <w:jc w:val="start"/>
              <w:rPr/>
            </w:pPr>
            <w:r>
              <w:rPr>
                <w:b w:val="false"/>
                <w:i w:val="false"/>
                <w:color w:val="000000"/>
                <w:sz w:val="19"/>
              </w:rPr>
              <w:t>Modulo Analítico</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Python 3.12 (Pandas/K-Means)</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Ciencia de datos e indicadores</w:t>
            </w:r>
          </w:p>
        </w:tc>
        <w:tc>
          <w:tcPr>
            <w:tcW w:w="2340" w:type="dxa"/>
            <w:tcBorders/>
            <w:tcMar>
              <w:top w:w="80" w:type="dxa"/>
              <w:bottom w:w="80" w:type="dxa"/>
            </w:tcMar>
          </w:tcPr>
          <w:p>
            <w:pPr>
              <w:pStyle w:val="Normal"/>
              <w:spacing w:lineRule="auto" w:line="276" w:before="40" w:after="40"/>
              <w:jc w:val="start"/>
              <w:rPr/>
            </w:pPr>
            <w:r>
              <w:rPr>
                <w:b w:val="false"/>
                <w:i w:val="false"/>
                <w:color w:val="000000"/>
                <w:sz w:val="19"/>
              </w:rPr>
              <w:t>Extracción con PyMongo, DataFrames y agrupamiento no supervisado.</w:t>
            </w:r>
          </w:p>
        </w:tc>
      </w:tr>
      <w:tr>
        <w:trPr/>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Pruebas &amp; CI/CD</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xUnit / GitHub Actions</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Automatización de pruebas</w:t>
            </w:r>
          </w:p>
        </w:tc>
        <w:tc>
          <w:tcPr>
            <w:tcW w:w="234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Integración continua automatizada ante cada Pull Request.</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Herramientas de desarrollo aprobadas sin costo de licenciamiento.</w:t>
      </w:r>
    </w:p>
    <w:p>
      <w:pPr>
        <w:pStyle w:val="Heading2"/>
        <w:spacing w:lineRule="auto" w:line="480" w:before="240" w:after="120"/>
        <w:ind w:hanging="0"/>
        <w:jc w:val="start"/>
        <w:rPr/>
      </w:pPr>
      <w:r>
        <w:rPr>
          <w:rFonts w:ascii="Times New Roman" w:hAnsi="Times New Roman"/>
          <w:b/>
          <w:i w:val="false"/>
          <w:color w:val="000000"/>
          <w:sz w:val="24"/>
        </w:rPr>
        <w:t>7. Vistas y Diagramas de Arquitectura (Modelo C4)</w:t>
      </w:r>
    </w:p>
    <w:p>
      <w:pPr>
        <w:pStyle w:val="Heading3"/>
        <w:spacing w:lineRule="auto" w:line="480" w:before="120" w:after="120"/>
        <w:ind w:hanging="0"/>
        <w:jc w:val="start"/>
        <w:rPr/>
      </w:pPr>
      <w:r>
        <w:rPr>
          <w:rFonts w:ascii="Times New Roman" w:hAnsi="Times New Roman"/>
          <w:b/>
          <w:i/>
          <w:color w:val="000000"/>
          <w:sz w:val="24"/>
        </w:rPr>
        <w:t>7.1 Catálogo Maestro de Diagramas</w:t>
      </w:r>
    </w:p>
    <w:p>
      <w:pPr>
        <w:pStyle w:val="Normal"/>
        <w:spacing w:lineRule="auto" w:line="480" w:before="0" w:after="0"/>
        <w:ind w:firstLine="720"/>
        <w:jc w:val="start"/>
        <w:rPr/>
      </w:pPr>
      <w:r>
        <w:rPr>
          <w:b w:val="false"/>
          <w:i w:val="false"/>
          <w:color w:val="000000"/>
          <w:sz w:val="24"/>
        </w:rPr>
        <w:t>La solución se documenta mediante la metodología C4 (Contexto, Contenedores, Componentes y Código/Despliegue). En la Tabla 9 se lista el catálogo maestro de diagramas.</w:t>
      </w:r>
    </w:p>
    <w:p>
      <w:pPr>
        <w:pStyle w:val="Normal"/>
        <w:spacing w:lineRule="auto" w:line="276" w:before="120" w:after="40"/>
        <w:ind w:hanging="0"/>
        <w:jc w:val="start"/>
        <w:rPr/>
      </w:pPr>
      <w:r>
        <w:rPr>
          <w:b/>
          <w:i w:val="false"/>
          <w:color w:val="000000"/>
          <w:sz w:val="24"/>
        </w:rPr>
        <w:t>Tabla 9</w:t>
      </w:r>
    </w:p>
    <w:p>
      <w:pPr>
        <w:pStyle w:val="Normal"/>
        <w:spacing w:lineRule="auto" w:line="276" w:before="0" w:after="120"/>
        <w:ind w:hanging="0"/>
        <w:jc w:val="start"/>
        <w:rPr/>
      </w:pPr>
      <w:r>
        <w:rPr>
          <w:b w:val="false"/>
          <w:i/>
          <w:color w:val="000000"/>
          <w:sz w:val="24"/>
        </w:rPr>
        <w:t>Catálogo Maestro de Diagramas de Arquitectura C4</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ID Diagrama</w:t>
            </w:r>
          </w:p>
        </w:tc>
        <w:tc>
          <w:tcPr>
            <w:tcW w:w="1872" w:type="dxa"/>
            <w:tcBorders>
              <w:top w:val="single" w:sz="8" w:space="0" w:color="000000"/>
            </w:tcBorders>
          </w:tcPr>
          <w:p>
            <w:pPr>
              <w:pStyle w:val="Normal"/>
              <w:spacing w:lineRule="auto" w:line="276" w:before="40" w:after="40"/>
              <w:jc w:val="start"/>
              <w:rPr/>
            </w:pPr>
            <w:r>
              <w:rPr>
                <w:b/>
                <w:i w:val="false"/>
                <w:color w:val="000000"/>
                <w:sz w:val="20"/>
              </w:rPr>
              <w:t>Vista C4 / Nivel</w:t>
            </w:r>
          </w:p>
        </w:tc>
        <w:tc>
          <w:tcPr>
            <w:tcW w:w="1872" w:type="dxa"/>
            <w:tcBorders>
              <w:top w:val="single" w:sz="8" w:space="0" w:color="000000"/>
            </w:tcBorders>
          </w:tcPr>
          <w:p>
            <w:pPr>
              <w:pStyle w:val="Normal"/>
              <w:spacing w:lineRule="auto" w:line="276" w:before="40" w:after="40"/>
              <w:jc w:val="start"/>
              <w:rPr/>
            </w:pPr>
            <w:r>
              <w:rPr>
                <w:b/>
                <w:i w:val="false"/>
                <w:color w:val="000000"/>
                <w:sz w:val="20"/>
              </w:rPr>
              <w:t>Propósito del Diagrama</w:t>
            </w:r>
          </w:p>
        </w:tc>
        <w:tc>
          <w:tcPr>
            <w:tcW w:w="1872" w:type="dxa"/>
            <w:tcBorders>
              <w:top w:val="single" w:sz="8" w:space="0" w:color="000000"/>
            </w:tcBorders>
          </w:tcPr>
          <w:p>
            <w:pPr>
              <w:pStyle w:val="Normal"/>
              <w:spacing w:lineRule="auto" w:line="276" w:before="40" w:after="40"/>
              <w:jc w:val="start"/>
              <w:rPr/>
            </w:pPr>
            <w:r>
              <w:rPr>
                <w:b/>
                <w:i w:val="false"/>
                <w:color w:val="000000"/>
                <w:sz w:val="20"/>
              </w:rPr>
              <w:t>Herramienta</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Ubicación en Repo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DIA-001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Contexto (Nivel 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Relación entre actores hospitalarios y el sistema SITBIO.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Draw.io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/docs/diagramas/c4_context.drawio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DIA-002</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Contenedores (Nivel 2)</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Topología del ejecutable WPF, API REST, PostgreSQL y MongoDB.</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Draw.io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/docs/diagramas/c4_containers.drawio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DIA-003</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Componentes (Nivel 3)</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Estructura interna de la API REST y módulos WPF.</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Draw.io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/docs/diagramas/c4_components.drawio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DIA-004</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Secuencia (SEQ-001/3)</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Flujos interactivos de Auth JWT, MongoDB BSON y K-Means.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PlantUML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/docs/diagramas/seq_auth_mongo.puml</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DIA-005</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Despliegue (DEP-001)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Nodos de infraestructura, cliente Windows y BDs.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Draw.io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/docs/diagramas/deploy_nodes.drawio</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DIA-006</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Modelo de Datos (DER)</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Diagrama entidad-relación SQL y colecciones BSON NoSQL.</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Draw.io</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/docs/diagramas/der_hybrid.drawio</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Documentación gráfica versionada en el repositorio del proyecto.</w:t>
      </w:r>
    </w:p>
    <w:p>
      <w:pPr>
        <w:pStyle w:val="Heading3"/>
        <w:spacing w:lineRule="auto" w:line="480" w:before="120" w:after="120"/>
        <w:ind w:hanging="0"/>
        <w:jc w:val="start"/>
        <w:rPr/>
      </w:pPr>
      <w:r>
        <w:rPr>
          <w:rFonts w:ascii="Times New Roman" w:hAnsi="Times New Roman"/>
          <w:b/>
          <w:i/>
          <w:color w:val="000000"/>
          <w:sz w:val="24"/>
        </w:rPr>
        <w:t>7.2 Vista de Contenedores (C4 Nivel 2)</w:t>
      </w:r>
    </w:p>
    <w:p>
      <w:pPr>
        <w:pStyle w:val="Normal"/>
        <w:spacing w:lineRule="auto" w:line="480" w:before="0" w:after="0"/>
        <w:ind w:firstLine="720"/>
        <w:jc w:val="start"/>
        <w:rPr/>
      </w:pPr>
      <w:r>
        <w:rPr>
          <w:b w:val="false"/>
          <w:i w:val="false"/>
          <w:color w:val="000000"/>
          <w:sz w:val="24"/>
        </w:rPr>
        <w:t>La vista de contenedores detalla los cinco bloques de ejecución de SITBIO: 1) Cliente de Escritorio WPF (Ejecutable C# .NET 8 en cliente Windows); 2) API REST Backend (ASP.NET Core Web API ejecutado en Kestrel/IIS); 3) Base de Datos Relacional PostgreSQL (Almacén SQL de usuarios, equipos y OTs); 4) Base de Datos NoSQL MongoDB (Colección de documentos BSON de intervenciones); y 5) Motor Analítico Python (Runner ejecutable de scripts con PyMongo y Pandas).</w:t>
      </w:r>
    </w:p>
    <w:p>
      <w:pPr>
        <w:pStyle w:val="Heading3"/>
        <w:spacing w:lineRule="auto" w:line="480" w:before="120" w:after="120"/>
        <w:ind w:hanging="0"/>
        <w:jc w:val="start"/>
        <w:rPr/>
      </w:pPr>
      <w:r>
        <w:rPr>
          <w:rFonts w:ascii="Times New Roman" w:hAnsi="Times New Roman"/>
          <w:b/>
          <w:i/>
          <w:color w:val="000000"/>
          <w:sz w:val="24"/>
        </w:rPr>
        <w:t>7.3 Vista de Componentes (C4 Nivel 3)</w:t>
      </w:r>
    </w:p>
    <w:p>
      <w:pPr>
        <w:pStyle w:val="Normal"/>
        <w:spacing w:lineRule="auto" w:line="480" w:before="0" w:after="0"/>
        <w:ind w:firstLine="720"/>
        <w:jc w:val="start"/>
        <w:rPr/>
      </w:pPr>
      <w:r>
        <w:rPr>
          <w:b w:val="false"/>
          <w:i w:val="false"/>
          <w:color w:val="000000"/>
          <w:sz w:val="24"/>
        </w:rPr>
        <w:t>Dentro de la API REST Backend, los componentes principales son: AuthController (autenticación JWT/BCrypt), EquipmentController (gestión SQL de hojas de vida), WorkOrderController (gestión de OTs), MongoInterventionService (driver BSON MongoDB para guardar intervenciones y camposDinamicos), y PythonAnalyticsService (invocación segura del pipeline K-Means).</w:t>
      </w:r>
    </w:p>
    <w:p>
      <w:pPr>
        <w:pStyle w:val="Heading3"/>
        <w:spacing w:lineRule="auto" w:line="480" w:before="120" w:after="120"/>
        <w:ind w:hanging="0"/>
        <w:jc w:val="start"/>
        <w:rPr/>
      </w:pPr>
      <w:r>
        <w:rPr>
          <w:rFonts w:ascii="Times New Roman" w:hAnsi="Times New Roman"/>
          <w:b/>
          <w:i/>
          <w:color w:val="000000"/>
          <w:sz w:val="24"/>
        </w:rPr>
        <w:t>7.4 Diagramas de Secuencia Clave</w:t>
      </w:r>
    </w:p>
    <w:p>
      <w:pPr>
        <w:pStyle w:val="Normal"/>
        <w:spacing w:lineRule="auto" w:line="480" w:before="0" w:after="0"/>
        <w:ind w:firstLine="720"/>
        <w:jc w:val="start"/>
        <w:rPr/>
      </w:pPr>
      <w:r>
        <w:rPr>
          <w:b w:val="false"/>
          <w:i w:val="false"/>
          <w:color w:val="000000"/>
          <w:sz w:val="24"/>
        </w:rPr>
        <w:t>Se especifican tres diagramas de secuencia críticos: 1) SEQ-001 (Inicio de Sesión): Valida credenciales en PostgreSQL con BCrypt y retorna JWT firmado con tenant_id y rol; 2) SEQ-002 (Registro de Intervención): El técnico diligencia la OT en WPF, la API valida el esquema JSON y persiste el documento BSON en MongoDB; 3) SEQ-003 (Pipeline K-Means): Invocación del script Python que lee con PyMongo, genera DataFrames de Pandas, calcula clusters K-Means y retorna el JSON con centroides para graficar en la app WPF.</w:t>
      </w:r>
    </w:p>
    <w:p>
      <w:pPr>
        <w:pStyle w:val="Heading3"/>
        <w:spacing w:lineRule="auto" w:line="480" w:before="120" w:after="120"/>
        <w:ind w:hanging="0"/>
        <w:jc w:val="start"/>
        <w:rPr/>
      </w:pPr>
      <w:r>
        <w:rPr>
          <w:rFonts w:ascii="Times New Roman" w:hAnsi="Times New Roman"/>
          <w:b/>
          <w:i/>
          <w:color w:val="000000"/>
          <w:sz w:val="24"/>
        </w:rPr>
        <w:t>7.5 Reglas de Calidad de Diagramas</w:t>
      </w:r>
    </w:p>
    <w:p>
      <w:pPr>
        <w:pStyle w:val="Normal"/>
        <w:spacing w:lineRule="auto" w:line="480" w:before="0" w:after="0"/>
        <w:ind w:firstLine="720"/>
        <w:jc w:val="start"/>
        <w:rPr/>
      </w:pPr>
      <w:r>
        <w:rPr>
          <w:b w:val="false"/>
          <w:i w:val="false"/>
          <w:color w:val="000000"/>
          <w:sz w:val="24"/>
        </w:rPr>
        <w:t>Todos los diagramas deben utilizar nombres del dominio técnico, incluir leyenda explicativa, indicar la dirección del flujo de datos con flechas tipadas y conservarse en formato editable .drawio o .puml dentro del repositorio Git.</w:t>
      </w:r>
    </w:p>
    <w:p>
      <w:pPr>
        <w:pStyle w:val="Heading2"/>
        <w:spacing w:lineRule="auto" w:line="480" w:before="240" w:after="120"/>
        <w:ind w:hanging="0"/>
        <w:jc w:val="start"/>
        <w:rPr/>
      </w:pPr>
      <w:r>
        <w:rPr>
          <w:rFonts w:ascii="Times New Roman" w:hAnsi="Times New Roman"/>
          <w:b/>
          <w:i w:val="false"/>
          <w:color w:val="000000"/>
          <w:sz w:val="24"/>
        </w:rPr>
        <w:t>8. Componentes y Responsabilidades</w:t>
      </w:r>
    </w:p>
    <w:p>
      <w:pPr>
        <w:pStyle w:val="Heading3"/>
        <w:spacing w:lineRule="auto" w:line="480" w:before="120" w:after="120"/>
        <w:ind w:hanging="0"/>
        <w:jc w:val="start"/>
        <w:rPr/>
      </w:pPr>
      <w:r>
        <w:rPr>
          <w:rFonts w:ascii="Times New Roman" w:hAnsi="Times New Roman"/>
          <w:b/>
          <w:i/>
          <w:color w:val="000000"/>
          <w:sz w:val="24"/>
        </w:rPr>
        <w:t>8.1 Catálogo General de Componentes</w:t>
      </w:r>
    </w:p>
    <w:p>
      <w:pPr>
        <w:pStyle w:val="Normal"/>
        <w:spacing w:lineRule="auto" w:line="480" w:before="0" w:after="0"/>
        <w:ind w:firstLine="720"/>
        <w:jc w:val="start"/>
        <w:rPr/>
      </w:pPr>
      <w:r>
        <w:rPr>
          <w:b w:val="false"/>
          <w:i w:val="false"/>
          <w:color w:val="000000"/>
          <w:sz w:val="24"/>
        </w:rPr>
        <w:t>En la Tabla 10 se presenta el catálogo de componentes de software de SITBIO.</w:t>
      </w:r>
    </w:p>
    <w:p>
      <w:pPr>
        <w:pStyle w:val="Normal"/>
        <w:spacing w:lineRule="auto" w:line="276" w:before="120" w:after="40"/>
        <w:ind w:hanging="0"/>
        <w:jc w:val="start"/>
        <w:rPr/>
      </w:pPr>
      <w:r>
        <w:rPr>
          <w:b/>
          <w:i w:val="false"/>
          <w:color w:val="000000"/>
          <w:sz w:val="24"/>
        </w:rPr>
        <w:t>Tabla 10</w:t>
      </w:r>
    </w:p>
    <w:p>
      <w:pPr>
        <w:pStyle w:val="Normal"/>
        <w:spacing w:lineRule="auto" w:line="276" w:before="0" w:after="120"/>
        <w:ind w:hanging="0"/>
        <w:jc w:val="start"/>
        <w:rPr/>
      </w:pPr>
      <w:r>
        <w:rPr>
          <w:b w:val="false"/>
          <w:i/>
          <w:color w:val="000000"/>
          <w:sz w:val="24"/>
        </w:rPr>
        <w:t>Catálogo de Componentes de Software y Responsabilidades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Código CMP</w:t>
            </w:r>
          </w:p>
        </w:tc>
        <w:tc>
          <w:tcPr>
            <w:tcW w:w="1872" w:type="dxa"/>
            <w:tcBorders>
              <w:top w:val="single" w:sz="8" w:space="0" w:color="000000"/>
            </w:tcBorders>
          </w:tcPr>
          <w:p>
            <w:pPr>
              <w:pStyle w:val="Normal"/>
              <w:spacing w:lineRule="auto" w:line="276" w:before="40" w:after="40"/>
              <w:jc w:val="start"/>
              <w:rPr/>
            </w:pPr>
            <w:r>
              <w:rPr>
                <w:b/>
                <w:i w:val="false"/>
                <w:color w:val="000000"/>
                <w:sz w:val="20"/>
              </w:rPr>
              <w:t>Nombre del Componente</w:t>
            </w:r>
          </w:p>
        </w:tc>
        <w:tc>
          <w:tcPr>
            <w:tcW w:w="1872" w:type="dxa"/>
            <w:tcBorders>
              <w:top w:val="single" w:sz="8" w:space="0" w:color="000000"/>
            </w:tcBorders>
          </w:tcPr>
          <w:p>
            <w:pPr>
              <w:pStyle w:val="Normal"/>
              <w:spacing w:lineRule="auto" w:line="276" w:before="40" w:after="40"/>
              <w:jc w:val="start"/>
              <w:rPr/>
            </w:pPr>
            <w:r>
              <w:rPr>
                <w:b/>
                <w:i w:val="false"/>
                <w:color w:val="000000"/>
                <w:sz w:val="20"/>
              </w:rPr>
              <w:t>Capa / Ubicación</w:t>
            </w:r>
          </w:p>
        </w:tc>
        <w:tc>
          <w:tcPr>
            <w:tcW w:w="1872" w:type="dxa"/>
            <w:tcBorders>
              <w:top w:val="single" w:sz="8" w:space="0" w:color="000000"/>
            </w:tcBorders>
          </w:tcPr>
          <w:p>
            <w:pPr>
              <w:pStyle w:val="Normal"/>
              <w:spacing w:lineRule="auto" w:line="276" w:before="40" w:after="40"/>
              <w:jc w:val="start"/>
              <w:rPr/>
            </w:pPr>
            <w:r>
              <w:rPr>
                <w:b/>
                <w:i w:val="false"/>
                <w:color w:val="000000"/>
                <w:sz w:val="20"/>
              </w:rPr>
              <w:t>Responsabilidad Principal en SITBIO</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Requisito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CMP-WPF-UI</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Módulo Vistas WPF</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Cliente Escritorio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Renderizado de pantallas XAML, navegación y controles dinámicos.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RNF-001</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CMP-WPF-VM</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Módulo ViewModels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Cliente Escritorio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Gestión de estado de UI, Data Binding y comandos asincrónicos.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RNF-012</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CMP-API-AUTH</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Servicio Autenticación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API REST Backend</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Emisión/validación de tokens JWT y cifrado de claves con BCrypt.</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RF-002</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CMP-API-EQP</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Servicio Inventario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API REST Backend</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Operaciones CRUD en PostgreSQL para hojas de vida de equipos.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RF-003</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CMP-API-OT</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Servicio Órdenes OT</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API REST Backend</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Control de estado de tiquetes y asignación de órdenes de trabajo.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RF-004/007</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CMP-MONGO-SRV</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Servicio NoSQL Mongo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API REST Backend</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Persistencia de documentos BSON y consulta de camposDinamicos.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RF-005/006</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CMP-PY-ANALYTICS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Runner Analítico Python</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Modulo Analítico</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Ejecución de PyMongo, Pandas DataFrames y algoritmo K-Means.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RF-009/010</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Asignación modular de responsabilidades en la solución.</w:t>
      </w:r>
    </w:p>
    <w:p>
      <w:pPr>
        <w:pStyle w:val="Heading3"/>
        <w:spacing w:lineRule="auto" w:line="480" w:before="120" w:after="120"/>
        <w:ind w:hanging="0"/>
        <w:jc w:val="start"/>
        <w:rPr/>
      </w:pPr>
      <w:r>
        <w:rPr>
          <w:rFonts w:ascii="Times New Roman" w:hAnsi="Times New Roman"/>
          <w:b/>
          <w:i/>
          <w:color w:val="000000"/>
          <w:sz w:val="24"/>
        </w:rPr>
        <w:t>8.2 Reglas de Separación de Responsabilidades</w:t>
      </w:r>
    </w:p>
    <w:p>
      <w:pPr>
        <w:pStyle w:val="Normal"/>
        <w:spacing w:lineRule="auto" w:line="480" w:before="0" w:after="0"/>
        <w:ind w:firstLine="720"/>
        <w:jc w:val="start"/>
        <w:rPr/>
      </w:pPr>
      <w:r>
        <w:rPr>
          <w:b w:val="false"/>
          <w:i w:val="false"/>
          <w:color w:val="000000"/>
          <w:sz w:val="24"/>
        </w:rPr>
        <w:t>Se prohíbe estrictamente la inclusión de SQL o consultas a MongoDB en las vistas WPF. Las reglas de negocio de validación de permisos RBAC y aislamiento Multi-Tenant residen exclusivamente en la capa de servicios del backend. La capa cliente de escritorio se encarga de la presentación visual y la interacción fluida con el usuario.</w:t>
      </w:r>
    </w:p>
    <w:p>
      <w:pPr>
        <w:pStyle w:val="Heading3"/>
        <w:spacing w:lineRule="auto" w:line="480" w:before="120" w:after="120"/>
        <w:ind w:hanging="0"/>
        <w:jc w:val="start"/>
        <w:rPr/>
      </w:pPr>
      <w:r>
        <w:rPr>
          <w:rFonts w:ascii="Times New Roman" w:hAnsi="Times New Roman"/>
          <w:b/>
          <w:i/>
          <w:color w:val="000000"/>
          <w:sz w:val="24"/>
        </w:rPr>
        <w:t>8.3 Matriz de Dependencias entre Componentes</w:t>
      </w:r>
    </w:p>
    <w:p>
      <w:pPr>
        <w:pStyle w:val="Normal"/>
        <w:spacing w:lineRule="auto" w:line="480" w:before="0" w:after="0"/>
        <w:ind w:firstLine="720"/>
        <w:jc w:val="start"/>
        <w:rPr/>
      </w:pPr>
      <w:r>
        <w:rPr>
          <w:b w:val="false"/>
          <w:i w:val="false"/>
          <w:color w:val="000000"/>
          <w:sz w:val="24"/>
        </w:rPr>
        <w:t>En la Tabla 11 se mapean las dependencias autorizadas entre los componentes del sistema.</w:t>
      </w:r>
    </w:p>
    <w:p>
      <w:pPr>
        <w:pStyle w:val="Normal"/>
        <w:spacing w:lineRule="auto" w:line="276" w:before="120" w:after="40"/>
        <w:ind w:hanging="0"/>
        <w:jc w:val="start"/>
        <w:rPr/>
      </w:pPr>
      <w:r>
        <w:rPr>
          <w:b/>
          <w:i w:val="false"/>
          <w:color w:val="000000"/>
          <w:sz w:val="24"/>
        </w:rPr>
        <w:t>Tabla 11</w:t>
      </w:r>
    </w:p>
    <w:p>
      <w:pPr>
        <w:pStyle w:val="Normal"/>
        <w:spacing w:lineRule="auto" w:line="276" w:before="0" w:after="120"/>
        <w:ind w:hanging="0"/>
        <w:jc w:val="start"/>
        <w:rPr/>
      </w:pPr>
      <w:r>
        <w:rPr>
          <w:b w:val="false"/>
          <w:i/>
          <w:color w:val="000000"/>
          <w:sz w:val="24"/>
        </w:rPr>
        <w:t>Matriz de Dependencias entre Componentes de Software</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Componente Origen</w:t>
            </w:r>
          </w:p>
        </w:tc>
        <w:tc>
          <w:tcPr>
            <w:tcW w:w="1872" w:type="dxa"/>
            <w:tcBorders>
              <w:top w:val="single" w:sz="8" w:space="0" w:color="000000"/>
            </w:tcBorders>
          </w:tcPr>
          <w:p>
            <w:pPr>
              <w:pStyle w:val="Normal"/>
              <w:spacing w:lineRule="auto" w:line="276" w:before="40" w:after="40"/>
              <w:jc w:val="start"/>
              <w:rPr/>
            </w:pPr>
            <w:r>
              <w:rPr>
                <w:b/>
                <w:i w:val="false"/>
                <w:color w:val="000000"/>
                <w:sz w:val="20"/>
              </w:rPr>
              <w:t>Componente Destino</w:t>
            </w:r>
          </w:p>
        </w:tc>
        <w:tc>
          <w:tcPr>
            <w:tcW w:w="1872" w:type="dxa"/>
            <w:tcBorders>
              <w:top w:val="single" w:sz="8" w:space="0" w:color="000000"/>
            </w:tcBorders>
          </w:tcPr>
          <w:p>
            <w:pPr>
              <w:pStyle w:val="Normal"/>
              <w:spacing w:lineRule="auto" w:line="276" w:before="40" w:after="40"/>
              <w:jc w:val="start"/>
              <w:rPr/>
            </w:pPr>
            <w:r>
              <w:rPr>
                <w:b/>
                <w:i w:val="false"/>
                <w:color w:val="000000"/>
                <w:sz w:val="20"/>
              </w:rPr>
              <w:t>Tipo Dependencia</w:t>
            </w:r>
          </w:p>
        </w:tc>
        <w:tc>
          <w:tcPr>
            <w:tcW w:w="1872" w:type="dxa"/>
            <w:tcBorders>
              <w:top w:val="single" w:sz="8" w:space="0" w:color="000000"/>
            </w:tcBorders>
          </w:tcPr>
          <w:p>
            <w:pPr>
              <w:pStyle w:val="Normal"/>
              <w:spacing w:lineRule="auto" w:line="276" w:before="40" w:after="40"/>
              <w:jc w:val="start"/>
              <w:rPr/>
            </w:pPr>
            <w:r>
              <w:rPr>
                <w:b/>
                <w:i w:val="false"/>
                <w:color w:val="000000"/>
                <w:sz w:val="20"/>
              </w:rPr>
              <w:t>Permitida</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Justificación Técnica</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CMP-WPF-UI</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CMP-WPF-VM</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Data Binding / Commands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Patrón MVVM desacoplado en cliente WPF.</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CMP-WPF-VM</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CMP-API-AUTH/EQP</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HTTPS REST 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Consumo asincrónico de servicios backend.</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CMP-API-AUTH</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Base Datos PostgreSQL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Entity Framework Core</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Acceso ORM a tablas relacionales de usuarios.</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CMP-MONGO-SRV</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Base Datos MongoDB</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MongoDB C# Driver</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Persistencia BSON de intervenciones técnicas.</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CMP-PY-ANALYTICS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Base Datos MongoDB</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PyMongo Driver</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Sí</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Extracción directa de datos sintéticos para Pandas.</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Control de acoplamiento y cohesión en la arquitectura.</w:t>
      </w:r>
    </w:p>
    <w:p>
      <w:pPr>
        <w:pStyle w:val="Heading2"/>
        <w:spacing w:lineRule="auto" w:line="480" w:before="240" w:after="120"/>
        <w:ind w:hanging="0"/>
        <w:jc w:val="start"/>
        <w:rPr/>
      </w:pPr>
      <w:r>
        <w:rPr>
          <w:rFonts w:ascii="Times New Roman" w:hAnsi="Times New Roman"/>
          <w:b/>
          <w:i w:val="false"/>
          <w:color w:val="000000"/>
          <w:sz w:val="24"/>
        </w:rPr>
        <w:t>9. Datos y Persistencia Híbrida (SQL + MongoDB NoSQL)</w:t>
      </w:r>
    </w:p>
    <w:p>
      <w:pPr>
        <w:pStyle w:val="Heading3"/>
        <w:spacing w:lineRule="auto" w:line="480" w:before="120" w:after="120"/>
        <w:ind w:hanging="0"/>
        <w:jc w:val="start"/>
        <w:rPr/>
      </w:pPr>
      <w:r>
        <w:rPr>
          <w:rFonts w:ascii="Times New Roman" w:hAnsi="Times New Roman"/>
          <w:b/>
          <w:i/>
          <w:color w:val="000000"/>
          <w:sz w:val="24"/>
        </w:rPr>
        <w:t>9.1 Estrategia de Persistencia Híbrida</w:t>
      </w:r>
    </w:p>
    <w:p>
      <w:pPr>
        <w:pStyle w:val="Normal"/>
        <w:spacing w:lineRule="auto" w:line="480" w:before="0" w:after="0"/>
        <w:ind w:firstLine="720"/>
        <w:jc w:val="start"/>
        <w:rPr/>
      </w:pPr>
      <w:r>
        <w:rPr>
          <w:b w:val="false"/>
          <w:i w:val="false"/>
          <w:color w:val="000000"/>
          <w:sz w:val="24"/>
        </w:rPr>
        <w:t>SITBIO emplea un modelo de persistencia políglota/híbrido: los datos transaccionales administrativos con relaciones rígidas y requisitos ACID (Usuarios, Tenants, Roles, Inventario y Tiquetes) se almacenan en la base de datos relacional PostgreSQL. Por su parte, las intervenciones técnicas de mantenimiento, cuyos parámetros varían según el tipo de equipo biomédico, junto con los metadatos de camposDinamicos, se persisten como documentos BSON en MongoDB Community.</w:t>
      </w:r>
    </w:p>
    <w:p>
      <w:pPr>
        <w:pStyle w:val="Heading3"/>
        <w:spacing w:lineRule="auto" w:line="480" w:before="120" w:after="120"/>
        <w:ind w:hanging="0"/>
        <w:jc w:val="start"/>
        <w:rPr/>
      </w:pPr>
      <w:r>
        <w:rPr>
          <w:rFonts w:ascii="Times New Roman" w:hAnsi="Times New Roman"/>
          <w:b/>
          <w:i/>
          <w:color w:val="000000"/>
          <w:sz w:val="24"/>
        </w:rPr>
        <w:t>9.2 Catálogo de Entidades SQL y Colecciones NoSQL</w:t>
      </w:r>
    </w:p>
    <w:p>
      <w:pPr>
        <w:pStyle w:val="Normal"/>
        <w:spacing w:lineRule="auto" w:line="480" w:before="0" w:after="0"/>
        <w:ind w:firstLine="720"/>
        <w:jc w:val="start"/>
        <w:rPr/>
      </w:pPr>
      <w:r>
        <w:rPr>
          <w:b w:val="false"/>
          <w:i w:val="false"/>
          <w:color w:val="000000"/>
          <w:sz w:val="24"/>
        </w:rPr>
        <w:t>En la Tabla 12 se presenta el catálogo de estructuras de datos relacionales y NoSQL.</w:t>
      </w:r>
    </w:p>
    <w:p>
      <w:pPr>
        <w:pStyle w:val="Normal"/>
        <w:spacing w:lineRule="auto" w:line="276" w:before="120" w:after="40"/>
        <w:ind w:hanging="0"/>
        <w:jc w:val="start"/>
        <w:rPr/>
      </w:pPr>
      <w:r>
        <w:rPr>
          <w:b/>
          <w:i w:val="false"/>
          <w:color w:val="000000"/>
          <w:sz w:val="24"/>
        </w:rPr>
        <w:t>Tabla 12</w:t>
      </w:r>
    </w:p>
    <w:p>
      <w:pPr>
        <w:pStyle w:val="Normal"/>
        <w:spacing w:lineRule="auto" w:line="276" w:before="0" w:after="120"/>
        <w:ind w:hanging="0"/>
        <w:jc w:val="start"/>
        <w:rPr/>
      </w:pPr>
      <w:r>
        <w:rPr>
          <w:b w:val="false"/>
          <w:i/>
          <w:color w:val="000000"/>
          <w:sz w:val="24"/>
        </w:rPr>
        <w:t>Catálogo de Entidades Relacionales SQL y Colecciones NoSQL BSON</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Nombre Estructura</w:t>
            </w:r>
          </w:p>
        </w:tc>
        <w:tc>
          <w:tcPr>
            <w:tcW w:w="1872" w:type="dxa"/>
            <w:tcBorders>
              <w:top w:val="single" w:sz="8" w:space="0" w:color="000000"/>
            </w:tcBorders>
          </w:tcPr>
          <w:p>
            <w:pPr>
              <w:pStyle w:val="Normal"/>
              <w:spacing w:lineRule="auto" w:line="276" w:before="40" w:after="40"/>
              <w:jc w:val="start"/>
              <w:rPr/>
            </w:pPr>
            <w:r>
              <w:rPr>
                <w:b/>
                <w:i w:val="false"/>
                <w:color w:val="000000"/>
                <w:sz w:val="20"/>
              </w:rPr>
              <w:t>Tipo / Almacén</w:t>
            </w:r>
          </w:p>
        </w:tc>
        <w:tc>
          <w:tcPr>
            <w:tcW w:w="1872" w:type="dxa"/>
            <w:tcBorders>
              <w:top w:val="single" w:sz="8" w:space="0" w:color="000000"/>
            </w:tcBorders>
          </w:tcPr>
          <w:p>
            <w:pPr>
              <w:pStyle w:val="Normal"/>
              <w:spacing w:lineRule="auto" w:line="276" w:before="40" w:after="40"/>
              <w:jc w:val="start"/>
              <w:rPr/>
            </w:pPr>
            <w:r>
              <w:rPr>
                <w:b/>
                <w:i w:val="false"/>
                <w:color w:val="000000"/>
                <w:sz w:val="20"/>
              </w:rPr>
              <w:t>Atributos / Campos Clave</w:t>
            </w:r>
          </w:p>
        </w:tc>
        <w:tc>
          <w:tcPr>
            <w:tcW w:w="1872" w:type="dxa"/>
            <w:tcBorders>
              <w:top w:val="single" w:sz="8" w:space="0" w:color="000000"/>
            </w:tcBorders>
          </w:tcPr>
          <w:p>
            <w:pPr>
              <w:pStyle w:val="Normal"/>
              <w:spacing w:lineRule="auto" w:line="276" w:before="40" w:after="40"/>
              <w:jc w:val="start"/>
              <w:rPr/>
            </w:pPr>
            <w:r>
              <w:rPr>
                <w:b/>
                <w:i w:val="false"/>
                <w:color w:val="000000"/>
                <w:sz w:val="20"/>
              </w:rPr>
              <w:t>Sensible</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Estrategia Retención</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TENANT</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Tabla SQL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id_tenant, nombre_ips, nit, estado_activo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Permanente / Lógico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USUARIO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Tabla SQL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id_usuario, tenant_id, correo, contrasena_hash, rol_id</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Sí (Hash)</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Borrado Lógico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EQUIPO_BIOMEDICO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Tabla SQL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id_equipo, tenant_id, numero_serie, placa_inventario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Historial / Lógico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ORDEN_TRABAJO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Tabla SQL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id_orden, tiquete_id, tecnico_id, estado, fecha_cierre</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Permanente / Lógico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intervenciones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Colección MongoDB</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id_intervencion, equipo_id, tenant_id, camposDinamicos{}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Inalterable / BSON</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configuracion_campos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Colección MongoDB</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tenant_id, tipo_equipo, campos[]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Versionado BSON</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bitacora_auditoria</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Colección MongoDB</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id_evento, tenant_id, usuario_id, accion, fecha_hora</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Sí</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Retención 1 Año</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Modelo de persistencia híbrida del sistema SITBIO.</w:t>
      </w:r>
    </w:p>
    <w:p>
      <w:pPr>
        <w:pStyle w:val="Heading3"/>
        <w:spacing w:lineRule="auto" w:line="480" w:before="120" w:after="120"/>
        <w:ind w:hanging="0"/>
        <w:jc w:val="start"/>
        <w:rPr/>
      </w:pPr>
      <w:r>
        <w:rPr>
          <w:rFonts w:ascii="Times New Roman" w:hAnsi="Times New Roman"/>
          <w:b/>
          <w:i/>
          <w:color w:val="000000"/>
          <w:sz w:val="24"/>
        </w:rPr>
        <w:t>9.3 Diccionario de Datos del Modelo Híbrido</w:t>
      </w:r>
    </w:p>
    <w:p>
      <w:pPr>
        <w:pStyle w:val="Normal"/>
        <w:spacing w:lineRule="auto" w:line="480" w:before="0" w:after="0"/>
        <w:ind w:firstLine="720"/>
        <w:jc w:val="start"/>
        <w:rPr/>
      </w:pPr>
      <w:r>
        <w:rPr>
          <w:b w:val="false"/>
          <w:i w:val="false"/>
          <w:color w:val="000000"/>
          <w:sz w:val="24"/>
        </w:rPr>
        <w:t>En la Tabla 13 se detalla la especificación de campos clave para el modelo relacional y la colección de intervenciones NoSQL en MongoDB.</w:t>
      </w:r>
    </w:p>
    <w:p>
      <w:pPr>
        <w:pStyle w:val="Normal"/>
        <w:spacing w:lineRule="auto" w:line="276" w:before="120" w:after="40"/>
        <w:ind w:hanging="0"/>
        <w:jc w:val="start"/>
        <w:rPr/>
      </w:pPr>
      <w:r>
        <w:rPr>
          <w:b/>
          <w:i w:val="false"/>
          <w:color w:val="000000"/>
          <w:sz w:val="24"/>
        </w:rPr>
        <w:t>Tabla 13</w:t>
      </w:r>
    </w:p>
    <w:p>
      <w:pPr>
        <w:pStyle w:val="Normal"/>
        <w:spacing w:lineRule="auto" w:line="276" w:before="0" w:after="120"/>
        <w:ind w:hanging="0"/>
        <w:jc w:val="start"/>
        <w:rPr/>
      </w:pPr>
      <w:r>
        <w:rPr>
          <w:b w:val="false"/>
          <w:i/>
          <w:color w:val="000000"/>
          <w:sz w:val="24"/>
        </w:rPr>
        <w:t>Diccionario de Datos de Atributos Críticos del Sistema</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op w:val="single" w:sz="8" w:space="0" w:color="000000"/>
            </w:tcBorders>
          </w:tcPr>
          <w:p>
            <w:pPr>
              <w:pStyle w:val="Normal"/>
              <w:spacing w:lineRule="auto" w:line="276" w:before="40" w:after="40"/>
              <w:jc w:val="start"/>
              <w:rPr/>
            </w:pPr>
            <w:r>
              <w:rPr>
                <w:b/>
                <w:i w:val="false"/>
                <w:color w:val="000000"/>
                <w:sz w:val="20"/>
              </w:rPr>
              <w:t>Estructura</w:t>
            </w:r>
          </w:p>
        </w:tc>
        <w:tc>
          <w:tcPr>
            <w:tcW w:w="1559" w:type="dxa"/>
            <w:tcBorders>
              <w:top w:val="single" w:sz="8" w:space="0" w:color="000000"/>
            </w:tcBorders>
          </w:tcPr>
          <w:p>
            <w:pPr>
              <w:pStyle w:val="Normal"/>
              <w:spacing w:lineRule="auto" w:line="276" w:before="40" w:after="40"/>
              <w:jc w:val="start"/>
              <w:rPr/>
            </w:pPr>
            <w:r>
              <w:rPr>
                <w:b/>
                <w:i w:val="false"/>
                <w:color w:val="000000"/>
                <w:sz w:val="20"/>
              </w:rPr>
              <w:t>Campo / Atributo</w:t>
            </w:r>
          </w:p>
        </w:tc>
        <w:tc>
          <w:tcPr>
            <w:tcW w:w="1561" w:type="dxa"/>
            <w:tcBorders>
              <w:top w:val="single" w:sz="8" w:space="0" w:color="000000"/>
            </w:tcBorders>
          </w:tcPr>
          <w:p>
            <w:pPr>
              <w:pStyle w:val="Normal"/>
              <w:spacing w:lineRule="auto" w:line="276" w:before="40" w:after="40"/>
              <w:jc w:val="start"/>
              <w:rPr/>
            </w:pPr>
            <w:r>
              <w:rPr>
                <w:b/>
                <w:i w:val="false"/>
                <w:color w:val="000000"/>
                <w:sz w:val="20"/>
              </w:rPr>
              <w:t>Tipo Dato</w:t>
            </w:r>
          </w:p>
        </w:tc>
        <w:tc>
          <w:tcPr>
            <w:tcW w:w="1560" w:type="dxa"/>
            <w:tcBorders>
              <w:top w:val="single" w:sz="8" w:space="0" w:color="000000"/>
            </w:tcBorders>
          </w:tcPr>
          <w:p>
            <w:pPr>
              <w:pStyle w:val="Normal"/>
              <w:spacing w:lineRule="auto" w:line="276" w:before="40" w:after="40"/>
              <w:jc w:val="start"/>
              <w:rPr/>
            </w:pPr>
            <w:r>
              <w:rPr>
                <w:b/>
                <w:i w:val="false"/>
                <w:color w:val="000000"/>
                <w:sz w:val="20"/>
              </w:rPr>
              <w:t>Nulo</w:t>
            </w:r>
          </w:p>
        </w:tc>
        <w:tc>
          <w:tcPr>
            <w:tcW w:w="1559" w:type="dxa"/>
            <w:tcBorders>
              <w:top w:val="single" w:sz="8" w:space="0" w:color="000000"/>
            </w:tcBorders>
          </w:tcPr>
          <w:p>
            <w:pPr>
              <w:pStyle w:val="Normal"/>
              <w:spacing w:lineRule="auto" w:line="276" w:before="40" w:after="40"/>
              <w:jc w:val="start"/>
              <w:rPr/>
            </w:pPr>
            <w:r>
              <w:rPr>
                <w:b/>
                <w:i w:val="false"/>
                <w:color w:val="000000"/>
                <w:sz w:val="20"/>
              </w:rPr>
              <w:t>Clave / Regla</w:t>
            </w:r>
          </w:p>
        </w:tc>
        <w:tc>
          <w:tcPr>
            <w:tcW w:w="1561"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Descripción</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USUARIO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id_usuario</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UUID / PK</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PK Autogenerada</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Identificador único de usuario.</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USUARIO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contrasena_hash</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VARCHAR(100)</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BCrypt Salt/Hash</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Clave cifrada con BCrypt.</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EQUIPO_BIOMEDICO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numero_serie</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VARCHAR(50)</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Unique por Tenant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Serie de fábrica del activo (RN-001).</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EQUIPO_BIOMEDICO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placa_inventario</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VARCHAR(50)</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Unique por Tenant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Placa de control hospitalario (RN-001).</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intervenciones</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_id</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ObjectId</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No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PK MongoDB</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Identificador único BSON de la intervención.</w:t>
            </w:r>
          </w:p>
        </w:tc>
      </w:tr>
      <w:tr>
        <w:trPr/>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intervenciones</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camposDinamicos</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Document BSON</w:t>
            </w:r>
          </w:p>
        </w:tc>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Sí</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Flexibilidad NoSQL</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Propiedad anidada con valores personalizados por tenant.</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Atributos y restricciones de datos clave.</w:t>
      </w:r>
    </w:p>
    <w:p>
      <w:pPr>
        <w:pStyle w:val="Heading3"/>
        <w:spacing w:lineRule="auto" w:line="480" w:before="120" w:after="120"/>
        <w:ind w:hanging="0"/>
        <w:jc w:val="start"/>
        <w:rPr/>
      </w:pPr>
      <w:r>
        <w:rPr>
          <w:rFonts w:ascii="Times New Roman" w:hAnsi="Times New Roman"/>
          <w:b/>
          <w:i/>
          <w:color w:val="000000"/>
          <w:sz w:val="24"/>
        </w:rPr>
        <w:t>9.4 Índices y Patrones de Consulta NoSQL y SQL</w:t>
      </w:r>
    </w:p>
    <w:p>
      <w:pPr>
        <w:pStyle w:val="Normal"/>
        <w:spacing w:lineRule="auto" w:line="480" w:before="0" w:after="0"/>
        <w:ind w:firstLine="720"/>
        <w:jc w:val="start"/>
        <w:rPr/>
      </w:pPr>
      <w:r>
        <w:rPr>
          <w:b w:val="false"/>
          <w:i w:val="false"/>
          <w:color w:val="000000"/>
          <w:sz w:val="24"/>
        </w:rPr>
        <w:t>En la Tabla 14 se especifican los índices diseñados para garantizar la respuesta bajo 1.5 segundos.</w:t>
      </w:r>
    </w:p>
    <w:p>
      <w:pPr>
        <w:pStyle w:val="Normal"/>
        <w:spacing w:lineRule="auto" w:line="276" w:before="120" w:after="40"/>
        <w:ind w:hanging="0"/>
        <w:jc w:val="start"/>
        <w:rPr/>
      </w:pPr>
      <w:r>
        <w:rPr>
          <w:b/>
          <w:i w:val="false"/>
          <w:color w:val="000000"/>
          <w:sz w:val="24"/>
        </w:rPr>
        <w:t>Tabla 14</w:t>
      </w:r>
    </w:p>
    <w:p>
      <w:pPr>
        <w:pStyle w:val="Normal"/>
        <w:spacing w:lineRule="auto" w:line="276" w:before="0" w:after="120"/>
        <w:ind w:hanging="0"/>
        <w:jc w:val="start"/>
        <w:rPr/>
      </w:pPr>
      <w:r>
        <w:rPr>
          <w:b w:val="false"/>
          <w:i/>
          <w:color w:val="000000"/>
          <w:sz w:val="24"/>
        </w:rPr>
        <w:t>Índices Físicos y Patrones de Consulta Optimizados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ID Índice</w:t>
            </w:r>
          </w:p>
        </w:tc>
        <w:tc>
          <w:tcPr>
            <w:tcW w:w="1872" w:type="dxa"/>
            <w:tcBorders>
              <w:top w:val="single" w:sz="8" w:space="0" w:color="000000"/>
            </w:tcBorders>
          </w:tcPr>
          <w:p>
            <w:pPr>
              <w:pStyle w:val="Normal"/>
              <w:spacing w:lineRule="auto" w:line="276" w:before="40" w:after="40"/>
              <w:jc w:val="start"/>
              <w:rPr/>
            </w:pPr>
            <w:r>
              <w:rPr>
                <w:b/>
                <w:i w:val="false"/>
                <w:color w:val="000000"/>
                <w:sz w:val="20"/>
              </w:rPr>
              <w:t>Almacén</w:t>
            </w:r>
          </w:p>
        </w:tc>
        <w:tc>
          <w:tcPr>
            <w:tcW w:w="1872" w:type="dxa"/>
            <w:tcBorders>
              <w:top w:val="single" w:sz="8" w:space="0" w:color="000000"/>
            </w:tcBorders>
          </w:tcPr>
          <w:p>
            <w:pPr>
              <w:pStyle w:val="Normal"/>
              <w:spacing w:lineRule="auto" w:line="276" w:before="40" w:after="40"/>
              <w:jc w:val="start"/>
              <w:rPr/>
            </w:pPr>
            <w:r>
              <w:rPr>
                <w:b/>
                <w:i w:val="false"/>
                <w:color w:val="000000"/>
                <w:sz w:val="20"/>
              </w:rPr>
              <w:t>Estructura / Campos</w:t>
            </w:r>
          </w:p>
        </w:tc>
        <w:tc>
          <w:tcPr>
            <w:tcW w:w="1872" w:type="dxa"/>
            <w:tcBorders>
              <w:top w:val="single" w:sz="8" w:space="0" w:color="000000"/>
            </w:tcBorders>
          </w:tcPr>
          <w:p>
            <w:pPr>
              <w:pStyle w:val="Normal"/>
              <w:spacing w:lineRule="auto" w:line="276" w:before="40" w:after="40"/>
              <w:jc w:val="start"/>
              <w:rPr/>
            </w:pPr>
            <w:r>
              <w:rPr>
                <w:b/>
                <w:i w:val="false"/>
                <w:color w:val="000000"/>
                <w:sz w:val="20"/>
              </w:rPr>
              <w:t>Tipo Índice</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Propósito de Optimización</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IDX-001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PostgreSQL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EQUIPO_BIOMEDICO(tenant_id, numero_serie)</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Compuesto / Único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Búsqueda rápida de equipos y regla RN-001.</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IDX-002</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PostgreSQL</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USUARIO(tenant_id, correo)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Compuesto / Único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Autenticación rápida de usuarios por tenant.</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IDX-003</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MongoDB</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intervenciones{tenant_id: 1, equipo_id: 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BSON Compuesto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Carga rápida de línea de tiempo del activo.</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IDX-004</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MongoDB</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intervenciones{tenant_id: 1, 'camposDinamicos.tipo': 1}</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Multikey BSON</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Consultas eficientes sobre campos personalizados.</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Estrategia de indexación para garantizar rendimiento RNF-006.</w:t>
      </w:r>
    </w:p>
    <w:p>
      <w:pPr>
        <w:pStyle w:val="Heading3"/>
        <w:spacing w:lineRule="auto" w:line="480" w:before="120" w:after="120"/>
        <w:ind w:hanging="0"/>
        <w:jc w:val="start"/>
        <w:rPr/>
      </w:pPr>
      <w:r>
        <w:rPr>
          <w:rFonts w:ascii="Times New Roman" w:hAnsi="Times New Roman"/>
          <w:b/>
          <w:i/>
          <w:color w:val="000000"/>
          <w:sz w:val="24"/>
        </w:rPr>
        <w:t>9.5 Migraciones, JSON Schema, Respaldo y Habeas Data</w:t>
      </w:r>
    </w:p>
    <w:p>
      <w:pPr>
        <w:pStyle w:val="Normal"/>
        <w:spacing w:lineRule="auto" w:line="480" w:before="0" w:after="0"/>
        <w:ind w:firstLine="720"/>
        <w:jc w:val="start"/>
        <w:rPr/>
      </w:pPr>
      <w:r>
        <w:rPr>
          <w:b w:val="false"/>
          <w:i w:val="false"/>
          <w:color w:val="000000"/>
          <w:sz w:val="24"/>
        </w:rPr>
        <w:t>Las migraciones de PostgreSQL se administran mediante Entity Framework Core Migrations versionadas en Git. Las colecciones de MongoDB emplean JSON Schema Validation para asegurar los atributos mínimos obligatorios (tenant_id, equipo_id, orden_id). La política de respaldo contempla copias de seguridad diarias automatizadas (pg_dump y mongodump) con RPO de 24 horas y RTO de 30 minutos. Todos los datos de funcionarios se manejan bajo la Ley 1581 de 2012 de Habeas Data.</w:t>
      </w:r>
    </w:p>
    <w:p>
      <w:pPr>
        <w:pStyle w:val="Heading2"/>
        <w:spacing w:lineRule="auto" w:line="480" w:before="240" w:after="120"/>
        <w:ind w:hanging="0"/>
        <w:jc w:val="start"/>
        <w:rPr/>
      </w:pPr>
      <w:r>
        <w:rPr>
          <w:rFonts w:ascii="Times New Roman" w:hAnsi="Times New Roman"/>
          <w:b/>
          <w:i w:val="false"/>
          <w:color w:val="000000"/>
          <w:sz w:val="24"/>
        </w:rPr>
        <w:t>10. API e Integraciones Backend</w:t>
      </w:r>
    </w:p>
    <w:p>
      <w:pPr>
        <w:pStyle w:val="Heading3"/>
        <w:spacing w:lineRule="auto" w:line="480" w:before="120" w:after="120"/>
        <w:ind w:hanging="0"/>
        <w:jc w:val="start"/>
        <w:rPr/>
      </w:pPr>
      <w:r>
        <w:rPr>
          <w:rFonts w:ascii="Times New Roman" w:hAnsi="Times New Roman"/>
          <w:b/>
          <w:i/>
          <w:color w:val="000000"/>
          <w:sz w:val="24"/>
        </w:rPr>
        <w:t>10.1 Principios del Contrato API REST</w:t>
      </w:r>
    </w:p>
    <w:p>
      <w:pPr>
        <w:pStyle w:val="Normal"/>
        <w:spacing w:lineRule="auto" w:line="480" w:before="0" w:after="0"/>
        <w:ind w:firstLine="720"/>
        <w:jc w:val="start"/>
        <w:rPr/>
      </w:pPr>
      <w:r>
        <w:rPr>
          <w:b w:val="false"/>
          <w:i w:val="false"/>
          <w:color w:val="000000"/>
          <w:sz w:val="24"/>
        </w:rPr>
        <w:t>La comunicación entre la aplicación de escritorio WPF y el backend se realiza mediante contratos OpenAPI / Swagger 3.0 sobre HTTPS con payloads JSON. Todos los endpoints exigen autenticación mediante token JWT en la cabecera Authorization: Bearer &lt;token&gt;.</w:t>
      </w:r>
    </w:p>
    <w:p>
      <w:pPr>
        <w:pStyle w:val="Heading3"/>
        <w:spacing w:lineRule="auto" w:line="480" w:before="120" w:after="120"/>
        <w:ind w:hanging="0"/>
        <w:jc w:val="start"/>
        <w:rPr/>
      </w:pPr>
      <w:r>
        <w:rPr>
          <w:rFonts w:ascii="Times New Roman" w:hAnsi="Times New Roman"/>
          <w:b/>
          <w:i/>
          <w:color w:val="000000"/>
          <w:sz w:val="24"/>
        </w:rPr>
        <w:t>10.2 Catálogo de Endpoints Principales</w:t>
      </w:r>
    </w:p>
    <w:p>
      <w:pPr>
        <w:pStyle w:val="Normal"/>
        <w:spacing w:lineRule="auto" w:line="480" w:before="0" w:after="0"/>
        <w:ind w:firstLine="720"/>
        <w:jc w:val="start"/>
        <w:rPr/>
      </w:pPr>
      <w:r>
        <w:rPr>
          <w:b w:val="false"/>
          <w:i w:val="false"/>
          <w:color w:val="000000"/>
          <w:sz w:val="24"/>
        </w:rPr>
        <w:t>En la Tabla 15 se detallan los endpoints principales de la API REST.</w:t>
      </w:r>
    </w:p>
    <w:p>
      <w:pPr>
        <w:pStyle w:val="Normal"/>
        <w:spacing w:lineRule="auto" w:line="276" w:before="120" w:after="40"/>
        <w:ind w:hanging="0"/>
        <w:jc w:val="start"/>
        <w:rPr/>
      </w:pPr>
      <w:r>
        <w:rPr>
          <w:b/>
          <w:i w:val="false"/>
          <w:color w:val="000000"/>
          <w:sz w:val="24"/>
        </w:rPr>
        <w:t>Tabla 15</w:t>
      </w:r>
    </w:p>
    <w:p>
      <w:pPr>
        <w:pStyle w:val="Normal"/>
        <w:spacing w:lineRule="auto" w:line="276" w:before="0" w:after="120"/>
        <w:ind w:hanging="0"/>
        <w:jc w:val="start"/>
        <w:rPr/>
      </w:pPr>
      <w:r>
        <w:rPr>
          <w:b w:val="false"/>
          <w:i/>
          <w:color w:val="000000"/>
          <w:sz w:val="24"/>
        </w:rPr>
        <w:t>Catálogo Estandarizado de Endpoints API REST</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op w:val="single" w:sz="8" w:space="0" w:color="000000"/>
            </w:tcBorders>
          </w:tcPr>
          <w:p>
            <w:pPr>
              <w:pStyle w:val="Normal"/>
              <w:spacing w:lineRule="auto" w:line="276" w:before="40" w:after="40"/>
              <w:jc w:val="start"/>
              <w:rPr/>
            </w:pPr>
            <w:r>
              <w:rPr>
                <w:b/>
                <w:i w:val="false"/>
                <w:color w:val="000000"/>
                <w:sz w:val="20"/>
              </w:rPr>
              <w:t>ID Endpoint</w:t>
            </w:r>
          </w:p>
        </w:tc>
        <w:tc>
          <w:tcPr>
            <w:tcW w:w="1559" w:type="dxa"/>
            <w:tcBorders>
              <w:top w:val="single" w:sz="8" w:space="0" w:color="000000"/>
            </w:tcBorders>
          </w:tcPr>
          <w:p>
            <w:pPr>
              <w:pStyle w:val="Normal"/>
              <w:spacing w:lineRule="auto" w:line="276" w:before="40" w:after="40"/>
              <w:jc w:val="start"/>
              <w:rPr/>
            </w:pPr>
            <w:r>
              <w:rPr>
                <w:b/>
                <w:i w:val="false"/>
                <w:color w:val="000000"/>
                <w:sz w:val="20"/>
              </w:rPr>
              <w:t>Método</w:t>
            </w:r>
          </w:p>
        </w:tc>
        <w:tc>
          <w:tcPr>
            <w:tcW w:w="1561" w:type="dxa"/>
            <w:tcBorders>
              <w:top w:val="single" w:sz="8" w:space="0" w:color="000000"/>
            </w:tcBorders>
          </w:tcPr>
          <w:p>
            <w:pPr>
              <w:pStyle w:val="Normal"/>
              <w:spacing w:lineRule="auto" w:line="276" w:before="40" w:after="40"/>
              <w:jc w:val="start"/>
              <w:rPr/>
            </w:pPr>
            <w:r>
              <w:rPr>
                <w:b/>
                <w:i w:val="false"/>
                <w:color w:val="000000"/>
                <w:sz w:val="20"/>
              </w:rPr>
              <w:t>Ruta Backend REST</w:t>
            </w:r>
          </w:p>
        </w:tc>
        <w:tc>
          <w:tcPr>
            <w:tcW w:w="1560" w:type="dxa"/>
            <w:tcBorders>
              <w:top w:val="single" w:sz="8" w:space="0" w:color="000000"/>
            </w:tcBorders>
          </w:tcPr>
          <w:p>
            <w:pPr>
              <w:pStyle w:val="Normal"/>
              <w:spacing w:lineRule="auto" w:line="276" w:before="40" w:after="40"/>
              <w:jc w:val="start"/>
              <w:rPr/>
            </w:pPr>
            <w:r>
              <w:rPr>
                <w:b/>
                <w:i w:val="false"/>
                <w:color w:val="000000"/>
                <w:sz w:val="20"/>
              </w:rPr>
              <w:t>Propósito Funcional</w:t>
            </w:r>
          </w:p>
        </w:tc>
        <w:tc>
          <w:tcPr>
            <w:tcW w:w="1559" w:type="dxa"/>
            <w:tcBorders>
              <w:top w:val="single" w:sz="8" w:space="0" w:color="000000"/>
            </w:tcBorders>
          </w:tcPr>
          <w:p>
            <w:pPr>
              <w:pStyle w:val="Normal"/>
              <w:spacing w:lineRule="auto" w:line="276" w:before="40" w:after="40"/>
              <w:jc w:val="start"/>
              <w:rPr/>
            </w:pPr>
            <w:r>
              <w:rPr>
                <w:b/>
                <w:i w:val="false"/>
                <w:color w:val="000000"/>
                <w:sz w:val="20"/>
              </w:rPr>
              <w:t>Permiso RBAC</w:t>
            </w:r>
          </w:p>
        </w:tc>
        <w:tc>
          <w:tcPr>
            <w:tcW w:w="1561"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RF / HU</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API-AUTH-001</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POST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/api/v1/auth/login</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Autenticación y emisión de JWT.</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Público</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RF-002 / HU-001</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API-EQP-001</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GET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/api/v1/equipments</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Consulta paginada de inventario.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Todos con rol</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RF-003 / HU-002</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API-EQP-002</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POST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/api/v1/equipments</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Registro de nuevo equipo biomédico.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Admin / Ingeniero</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RF-003 / HU-002</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API-OT-001</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POST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/api/v1/work-orders/assign</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Asignación de OT a Técnico.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Ingeniero Biomédico</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RF-007 / HU-004</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API-MONGO-001</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POST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/api/v1/interventions</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Registro de intervención BSON.</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Técnico Mantenimiento</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RF-005 / HU-005</w:t>
            </w:r>
          </w:p>
        </w:tc>
      </w:tr>
      <w:tr>
        <w:trPr/>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API-PY-001</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GET</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/api/v1/analytics/kmeans</w:t>
            </w:r>
          </w:p>
        </w:tc>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Obtención de clusters K-Means.</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Ingeniero / Gerente</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RF-010 / HU-009</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Contrato de servicios backend para el cliente WPF.</w:t>
      </w:r>
    </w:p>
    <w:p>
      <w:pPr>
        <w:pStyle w:val="Heading3"/>
        <w:spacing w:lineRule="auto" w:line="480" w:before="120" w:after="120"/>
        <w:ind w:hanging="0"/>
        <w:jc w:val="start"/>
        <w:rPr/>
      </w:pPr>
      <w:r>
        <w:rPr>
          <w:rFonts w:ascii="Times New Roman" w:hAnsi="Times New Roman"/>
          <w:b/>
          <w:i/>
          <w:color w:val="000000"/>
          <w:sz w:val="24"/>
        </w:rPr>
        <w:t>10.3 Contrato de Respuesta y Formato de Errores</w:t>
      </w:r>
    </w:p>
    <w:p>
      <w:pPr>
        <w:pStyle w:val="Normal"/>
        <w:spacing w:lineRule="auto" w:line="480" w:before="0" w:after="0"/>
        <w:ind w:firstLine="720"/>
        <w:jc w:val="start"/>
        <w:rPr/>
      </w:pPr>
      <w:r>
        <w:rPr>
          <w:b w:val="false"/>
          <w:i w:val="false"/>
          <w:color w:val="000000"/>
          <w:sz w:val="24"/>
        </w:rPr>
        <w:t>Las respuestas de éxito siguen el formato JSON estructurado. Los errores HTTP 4xx y 5xx adoptan el estándar ProblemDetails (RFC 7807), retornando campos de tipo, título, estado y detalle, evitando revelar información sensible de la infraestructura.</w:t>
      </w:r>
    </w:p>
    <w:p>
      <w:pPr>
        <w:pStyle w:val="Heading2"/>
        <w:spacing w:lineRule="auto" w:line="480" w:before="240" w:after="120"/>
        <w:ind w:hanging="0"/>
        <w:jc w:val="start"/>
        <w:rPr/>
      </w:pPr>
      <w:r>
        <w:rPr>
          <w:rFonts w:ascii="Times New Roman" w:hAnsi="Times New Roman"/>
          <w:b/>
          <w:i w:val="false"/>
          <w:color w:val="000000"/>
          <w:sz w:val="24"/>
        </w:rPr>
        <w:t>11. Seguridad y Privacidad de la Información</w:t>
      </w:r>
    </w:p>
    <w:p>
      <w:pPr>
        <w:pStyle w:val="Heading3"/>
        <w:spacing w:lineRule="auto" w:line="480" w:before="120" w:after="120"/>
        <w:ind w:hanging="0"/>
        <w:jc w:val="start"/>
        <w:rPr/>
      </w:pPr>
      <w:r>
        <w:rPr>
          <w:rFonts w:ascii="Times New Roman" w:hAnsi="Times New Roman"/>
          <w:b/>
          <w:i/>
          <w:color w:val="000000"/>
          <w:sz w:val="24"/>
        </w:rPr>
        <w:t>11.1 Matriz de Activos y Amenazas</w:t>
      </w:r>
    </w:p>
    <w:p>
      <w:pPr>
        <w:pStyle w:val="Normal"/>
        <w:spacing w:lineRule="auto" w:line="480" w:before="0" w:after="0"/>
        <w:ind w:firstLine="720"/>
        <w:jc w:val="start"/>
        <w:rPr/>
      </w:pPr>
      <w:r>
        <w:rPr>
          <w:b w:val="false"/>
          <w:i w:val="false"/>
          <w:color w:val="000000"/>
          <w:sz w:val="24"/>
        </w:rPr>
        <w:t>En la Tabla 16 se identifican las amenazas de seguridad y los controles de mitigación.</w:t>
      </w:r>
    </w:p>
    <w:p>
      <w:pPr>
        <w:pStyle w:val="Normal"/>
        <w:spacing w:lineRule="auto" w:line="276" w:before="120" w:after="40"/>
        <w:ind w:hanging="0"/>
        <w:jc w:val="start"/>
        <w:rPr/>
      </w:pPr>
      <w:r>
        <w:rPr>
          <w:b/>
          <w:i w:val="false"/>
          <w:color w:val="000000"/>
          <w:sz w:val="24"/>
        </w:rPr>
        <w:t>Tabla 16</w:t>
      </w:r>
    </w:p>
    <w:p>
      <w:pPr>
        <w:pStyle w:val="Normal"/>
        <w:spacing w:lineRule="auto" w:line="276" w:before="0" w:after="120"/>
        <w:ind w:hanging="0"/>
        <w:jc w:val="start"/>
        <w:rPr/>
      </w:pPr>
      <w:r>
        <w:rPr>
          <w:b w:val="false"/>
          <w:i/>
          <w:color w:val="000000"/>
          <w:sz w:val="24"/>
        </w:rPr>
        <w:t>Matriz de Activos, Amenazas de Seguridad y Controles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op w:val="single" w:sz="8" w:space="0" w:color="000000"/>
            </w:tcBorders>
          </w:tcPr>
          <w:p>
            <w:pPr>
              <w:pStyle w:val="Normal"/>
              <w:spacing w:lineRule="auto" w:line="276" w:before="40" w:after="40"/>
              <w:jc w:val="start"/>
              <w:rPr/>
            </w:pPr>
            <w:r>
              <w:rPr>
                <w:b/>
                <w:i w:val="false"/>
                <w:color w:val="000000"/>
                <w:sz w:val="20"/>
              </w:rPr>
              <w:t>ID Activo</w:t>
            </w:r>
          </w:p>
        </w:tc>
        <w:tc>
          <w:tcPr>
            <w:tcW w:w="1559" w:type="dxa"/>
            <w:tcBorders>
              <w:top w:val="single" w:sz="8" w:space="0" w:color="000000"/>
            </w:tcBorders>
          </w:tcPr>
          <w:p>
            <w:pPr>
              <w:pStyle w:val="Normal"/>
              <w:spacing w:lineRule="auto" w:line="276" w:before="40" w:after="40"/>
              <w:jc w:val="start"/>
              <w:rPr/>
            </w:pPr>
            <w:r>
              <w:rPr>
                <w:b/>
                <w:i w:val="false"/>
                <w:color w:val="000000"/>
                <w:sz w:val="20"/>
              </w:rPr>
              <w:t>Amenaza Identificada</w:t>
            </w:r>
          </w:p>
        </w:tc>
        <w:tc>
          <w:tcPr>
            <w:tcW w:w="1561" w:type="dxa"/>
            <w:tcBorders>
              <w:top w:val="single" w:sz="8" w:space="0" w:color="000000"/>
            </w:tcBorders>
          </w:tcPr>
          <w:p>
            <w:pPr>
              <w:pStyle w:val="Normal"/>
              <w:spacing w:lineRule="auto" w:line="276" w:before="40" w:after="40"/>
              <w:jc w:val="start"/>
              <w:rPr/>
            </w:pPr>
            <w:r>
              <w:rPr>
                <w:b/>
                <w:i w:val="false"/>
                <w:color w:val="000000"/>
                <w:sz w:val="20"/>
              </w:rPr>
              <w:t>Prob.</w:t>
            </w:r>
          </w:p>
        </w:tc>
        <w:tc>
          <w:tcPr>
            <w:tcW w:w="1560" w:type="dxa"/>
            <w:tcBorders>
              <w:top w:val="single" w:sz="8" w:space="0" w:color="000000"/>
            </w:tcBorders>
          </w:tcPr>
          <w:p>
            <w:pPr>
              <w:pStyle w:val="Normal"/>
              <w:spacing w:lineRule="auto" w:line="276" w:before="40" w:after="40"/>
              <w:jc w:val="start"/>
              <w:rPr/>
            </w:pPr>
            <w:r>
              <w:rPr>
                <w:b/>
                <w:i w:val="false"/>
                <w:color w:val="000000"/>
                <w:sz w:val="20"/>
              </w:rPr>
              <w:t>Impacto</w:t>
            </w:r>
          </w:p>
        </w:tc>
        <w:tc>
          <w:tcPr>
            <w:tcW w:w="1559" w:type="dxa"/>
            <w:tcBorders>
              <w:top w:val="single" w:sz="8" w:space="0" w:color="000000"/>
            </w:tcBorders>
          </w:tcPr>
          <w:p>
            <w:pPr>
              <w:pStyle w:val="Normal"/>
              <w:spacing w:lineRule="auto" w:line="276" w:before="40" w:after="40"/>
              <w:jc w:val="start"/>
              <w:rPr/>
            </w:pPr>
            <w:r>
              <w:rPr>
                <w:b/>
                <w:i w:val="false"/>
                <w:color w:val="000000"/>
                <w:sz w:val="20"/>
              </w:rPr>
              <w:t>Control Técnico de Mitigación</w:t>
            </w:r>
          </w:p>
        </w:tc>
        <w:tc>
          <w:tcPr>
            <w:tcW w:w="1561"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Estado</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SEC-001 Credenciales</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Interceptación de claves en tránsito.</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Baja</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Alto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Cifrado HTTPS / TLS 1.2+ y contraseñas BCrypt.</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Implementado</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SEC-002 Token JWT</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Suplantación por robo de token.</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Media</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Alto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Tokens firmados HS256 con expiración de 30 min.</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Implementado</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SEC-003 Multi-Tenant</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Acceso cruzado a datos de otra IPS.</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Baja</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Alto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Filtrado estricto de tenant_id en backend (RN-008).</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Implementado</w:t>
            </w:r>
          </w:p>
        </w:tc>
      </w:tr>
      <w:tr>
        <w:trPr/>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SEC-004 Base de Datos</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Inyección SQL o NoSQL en BSON.</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Baja</w:t>
            </w:r>
          </w:p>
        </w:tc>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Alto</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ORM Entity Framework Core y MongoDB BSON DTOs.</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Implementado</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Estrategia de seguridad en profundidad del proyecto SITBIO.</w:t>
      </w:r>
    </w:p>
    <w:p>
      <w:pPr>
        <w:pStyle w:val="Heading3"/>
        <w:spacing w:lineRule="auto" w:line="480" w:before="120" w:after="120"/>
        <w:ind w:hanging="0"/>
        <w:jc w:val="start"/>
        <w:rPr/>
      </w:pPr>
      <w:r>
        <w:rPr>
          <w:rFonts w:ascii="Times New Roman" w:hAnsi="Times New Roman"/>
          <w:b/>
          <w:i/>
          <w:color w:val="000000"/>
          <w:sz w:val="24"/>
        </w:rPr>
        <w:t>11.2 Autenticación JWT y Cifrado BCrypt</w:t>
      </w:r>
    </w:p>
    <w:p>
      <w:pPr>
        <w:pStyle w:val="Normal"/>
        <w:spacing w:lineRule="auto" w:line="480" w:before="0" w:after="0"/>
        <w:ind w:firstLine="720"/>
        <w:jc w:val="start"/>
        <w:rPr/>
      </w:pPr>
      <w:r>
        <w:rPr>
          <w:b w:val="false"/>
          <w:i w:val="false"/>
          <w:color w:val="000000"/>
          <w:sz w:val="24"/>
        </w:rPr>
        <w:t>Las contraseñas se almacenan mediante el algoritmo BCrypt con un factor de costo mínimo de 11. Tras la autenticación exitosa, la API REST emite un token JWT que contiene las claims id_usuario, tenant_id y rol. El cliente WPF almacena el token únicamente en memoria volátil de la sesión.</w:t>
      </w:r>
    </w:p>
    <w:p>
      <w:pPr>
        <w:pStyle w:val="Heading3"/>
        <w:spacing w:lineRule="auto" w:line="480" w:before="120" w:after="120"/>
        <w:ind w:hanging="0"/>
        <w:jc w:val="start"/>
        <w:rPr/>
      </w:pPr>
      <w:r>
        <w:rPr>
          <w:rFonts w:ascii="Times New Roman" w:hAnsi="Times New Roman"/>
          <w:b/>
          <w:i/>
          <w:color w:val="000000"/>
          <w:sz w:val="24"/>
        </w:rPr>
        <w:t>11.3 Autorización y Control Mínimo Privilegio (RBAC)</w:t>
      </w:r>
    </w:p>
    <w:p>
      <w:pPr>
        <w:pStyle w:val="Normal"/>
        <w:spacing w:lineRule="auto" w:line="480" w:before="0" w:after="0"/>
        <w:ind w:firstLine="720"/>
        <w:jc w:val="start"/>
        <w:rPr/>
      </w:pPr>
      <w:r>
        <w:rPr>
          <w:b w:val="false"/>
          <w:i w:val="false"/>
          <w:color w:val="000000"/>
          <w:sz w:val="24"/>
        </w:rPr>
        <w:t>El backend valida los permisos en cada endpoint mediante atributos de autorización por rol. Los 6 roles (Admin SaaS, Ingeniero Biomédico, Técnico, Personal Clínico, Gerente y Auditor) cuentan con accesos segregados según la matriz RBAC oficial.</w:t>
      </w:r>
    </w:p>
    <w:p>
      <w:pPr>
        <w:pStyle w:val="Heading2"/>
        <w:spacing w:lineRule="auto" w:line="480" w:before="240" w:after="120"/>
        <w:ind w:hanging="0"/>
        <w:jc w:val="start"/>
        <w:rPr/>
      </w:pPr>
      <w:r>
        <w:rPr>
          <w:rFonts w:ascii="Times New Roman" w:hAnsi="Times New Roman"/>
          <w:b/>
          <w:i w:val="false"/>
          <w:color w:val="000000"/>
          <w:sz w:val="24"/>
        </w:rPr>
        <w:t>12. Manejo de Errores, Logging y Observabilidad</w:t>
      </w:r>
    </w:p>
    <w:p>
      <w:pPr>
        <w:pStyle w:val="Heading3"/>
        <w:spacing w:lineRule="auto" w:line="480" w:before="120" w:after="120"/>
        <w:ind w:hanging="0"/>
        <w:jc w:val="start"/>
        <w:rPr/>
      </w:pPr>
      <w:r>
        <w:rPr>
          <w:rFonts w:ascii="Times New Roman" w:hAnsi="Times New Roman"/>
          <w:b/>
          <w:i/>
          <w:color w:val="000000"/>
          <w:sz w:val="24"/>
        </w:rPr>
        <w:t>12.1 Estrategia de Control Global de Errores</w:t>
      </w:r>
    </w:p>
    <w:p>
      <w:pPr>
        <w:pStyle w:val="Normal"/>
        <w:spacing w:lineRule="auto" w:line="480" w:before="0" w:after="0"/>
        <w:ind w:firstLine="720"/>
        <w:jc w:val="start"/>
        <w:rPr/>
      </w:pPr>
      <w:r>
        <w:rPr>
          <w:b w:val="false"/>
          <w:i w:val="false"/>
          <w:color w:val="000000"/>
          <w:sz w:val="24"/>
        </w:rPr>
        <w:t>Se implementa un middleware global de excepciones en la API REST de ASP.NET Core que captura todos los errores no controlados, registra la traza interna en los logs y retorna al cliente un mensaje seguro HTTP 500 con un CorrelationId único para auditoría.</w:t>
      </w:r>
    </w:p>
    <w:p>
      <w:pPr>
        <w:pStyle w:val="Heading3"/>
        <w:spacing w:lineRule="auto" w:line="480" w:before="120" w:after="120"/>
        <w:ind w:hanging="0"/>
        <w:jc w:val="start"/>
        <w:rPr/>
      </w:pPr>
      <w:r>
        <w:rPr>
          <w:rFonts w:ascii="Times New Roman" w:hAnsi="Times New Roman"/>
          <w:b/>
          <w:i/>
          <w:color w:val="000000"/>
          <w:sz w:val="24"/>
        </w:rPr>
        <w:t>12.2 Estándar de Logging Estructurado</w:t>
      </w:r>
    </w:p>
    <w:p>
      <w:pPr>
        <w:pStyle w:val="Normal"/>
        <w:spacing w:lineRule="auto" w:line="480" w:before="0" w:after="0"/>
        <w:ind w:firstLine="720"/>
        <w:jc w:val="start"/>
        <w:rPr/>
      </w:pPr>
      <w:r>
        <w:rPr>
          <w:b w:val="false"/>
          <w:i w:val="false"/>
          <w:color w:val="000000"/>
          <w:sz w:val="24"/>
        </w:rPr>
        <w:t>El registro de eventos se realiza mediante Serilog en formato JSON estructurado, etiquetando cada entrada con fecha/hora UTC, nivel de log, TenantId, UserId y CorrelationId. Se prohíbe explícitamente registrar contraseñas o tokens en los archivos de log.</w:t>
      </w:r>
    </w:p>
    <w:p>
      <w:pPr>
        <w:pStyle w:val="Heading3"/>
        <w:spacing w:lineRule="auto" w:line="480" w:before="120" w:after="120"/>
        <w:ind w:hanging="0"/>
        <w:jc w:val="start"/>
        <w:rPr/>
      </w:pPr>
      <w:r>
        <w:rPr>
          <w:rFonts w:ascii="Times New Roman" w:hAnsi="Times New Roman"/>
          <w:b/>
          <w:i/>
          <w:color w:val="000000"/>
          <w:sz w:val="24"/>
        </w:rPr>
        <w:t>12.3 Métricas de Salud y Auditoría (OBS-001 a OBS-004)</w:t>
      </w:r>
    </w:p>
    <w:p>
      <w:pPr>
        <w:pStyle w:val="Normal"/>
        <w:spacing w:lineRule="auto" w:line="480" w:before="0" w:after="0"/>
        <w:ind w:firstLine="720"/>
        <w:jc w:val="start"/>
        <w:rPr/>
      </w:pPr>
      <w:r>
        <w:rPr>
          <w:b w:val="false"/>
          <w:i w:val="false"/>
          <w:color w:val="000000"/>
          <w:sz w:val="24"/>
        </w:rPr>
        <w:t>La API expone el endpoint /health que verifica la conectividad con PostgreSQL y MongoDB. Adicionalmente, la colección bitacora_auditoria en MongoDB registra de forma permanente las operaciones críticas (creación de usuarios, cambios de roles, modificaciones de equipos y cierres de OTs).</w:t>
      </w:r>
    </w:p>
    <w:p>
      <w:pPr>
        <w:pStyle w:val="Heading2"/>
        <w:spacing w:lineRule="auto" w:line="480" w:before="240" w:after="120"/>
        <w:ind w:hanging="0"/>
        <w:jc w:val="start"/>
        <w:rPr/>
      </w:pPr>
      <w:r>
        <w:rPr>
          <w:rFonts w:ascii="Times New Roman" w:hAnsi="Times New Roman"/>
          <w:b/>
          <w:i w:val="false"/>
          <w:color w:val="000000"/>
          <w:sz w:val="24"/>
        </w:rPr>
        <w:t>13. Ambientes, Despliegue y Operación</w:t>
      </w:r>
    </w:p>
    <w:p>
      <w:pPr>
        <w:pStyle w:val="Heading3"/>
        <w:spacing w:lineRule="auto" w:line="480" w:before="120" w:after="120"/>
        <w:ind w:hanging="0"/>
        <w:jc w:val="start"/>
        <w:rPr/>
      </w:pPr>
      <w:r>
        <w:rPr>
          <w:rFonts w:ascii="Times New Roman" w:hAnsi="Times New Roman"/>
          <w:b/>
          <w:i/>
          <w:color w:val="000000"/>
          <w:sz w:val="24"/>
        </w:rPr>
        <w:t>13.1 Matriz de Ambientes de Trabajo</w:t>
      </w:r>
    </w:p>
    <w:p>
      <w:pPr>
        <w:pStyle w:val="Normal"/>
        <w:spacing w:lineRule="auto" w:line="480" w:before="0" w:after="0"/>
        <w:ind w:firstLine="720"/>
        <w:jc w:val="start"/>
        <w:rPr/>
      </w:pPr>
      <w:r>
        <w:rPr>
          <w:b w:val="false"/>
          <w:i w:val="false"/>
          <w:color w:val="000000"/>
          <w:sz w:val="24"/>
        </w:rPr>
        <w:t>En la Tabla 17 se caracterizan los tres entornos de despliegue del proyecto SITBIO.</w:t>
      </w:r>
    </w:p>
    <w:p>
      <w:pPr>
        <w:pStyle w:val="Normal"/>
        <w:spacing w:lineRule="auto" w:line="276" w:before="120" w:after="40"/>
        <w:ind w:hanging="0"/>
        <w:jc w:val="start"/>
        <w:rPr/>
      </w:pPr>
      <w:r>
        <w:rPr>
          <w:b/>
          <w:i w:val="false"/>
          <w:color w:val="000000"/>
          <w:sz w:val="24"/>
        </w:rPr>
        <w:t>Tabla 17</w:t>
      </w:r>
    </w:p>
    <w:p>
      <w:pPr>
        <w:pStyle w:val="Normal"/>
        <w:spacing w:lineRule="auto" w:line="276" w:before="0" w:after="120"/>
        <w:ind w:hanging="0"/>
        <w:jc w:val="start"/>
        <w:rPr/>
      </w:pPr>
      <w:r>
        <w:rPr>
          <w:b w:val="false"/>
          <w:i/>
          <w:color w:val="000000"/>
          <w:sz w:val="24"/>
        </w:rPr>
        <w:t>Matriz de Ambientes de Desarrollo, Pruebas y Producción</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Ambiente</w:t>
            </w:r>
          </w:p>
        </w:tc>
        <w:tc>
          <w:tcPr>
            <w:tcW w:w="1872" w:type="dxa"/>
            <w:tcBorders>
              <w:top w:val="single" w:sz="8" w:space="0" w:color="000000"/>
            </w:tcBorders>
          </w:tcPr>
          <w:p>
            <w:pPr>
              <w:pStyle w:val="Normal"/>
              <w:spacing w:lineRule="auto" w:line="276" w:before="40" w:after="40"/>
              <w:jc w:val="start"/>
              <w:rPr/>
            </w:pPr>
            <w:r>
              <w:rPr>
                <w:b/>
                <w:i w:val="false"/>
                <w:color w:val="000000"/>
                <w:sz w:val="20"/>
              </w:rPr>
              <w:t>Propósito del Entorno</w:t>
            </w:r>
          </w:p>
        </w:tc>
        <w:tc>
          <w:tcPr>
            <w:tcW w:w="1872" w:type="dxa"/>
            <w:tcBorders>
              <w:top w:val="single" w:sz="8" w:space="0" w:color="000000"/>
            </w:tcBorders>
          </w:tcPr>
          <w:p>
            <w:pPr>
              <w:pStyle w:val="Normal"/>
              <w:spacing w:lineRule="auto" w:line="276" w:before="40" w:after="40"/>
              <w:jc w:val="start"/>
              <w:rPr/>
            </w:pPr>
            <w:r>
              <w:rPr>
                <w:b/>
                <w:i w:val="false"/>
                <w:color w:val="000000"/>
                <w:sz w:val="20"/>
              </w:rPr>
              <w:t>Datos Utilizados</w:t>
            </w:r>
          </w:p>
        </w:tc>
        <w:tc>
          <w:tcPr>
            <w:tcW w:w="1872" w:type="dxa"/>
            <w:tcBorders>
              <w:top w:val="single" w:sz="8" w:space="0" w:color="000000"/>
            </w:tcBorders>
          </w:tcPr>
          <w:p>
            <w:pPr>
              <w:pStyle w:val="Normal"/>
              <w:spacing w:lineRule="auto" w:line="276" w:before="40" w:after="40"/>
              <w:jc w:val="start"/>
              <w:rPr/>
            </w:pPr>
            <w:r>
              <w:rPr>
                <w:b/>
                <w:i w:val="false"/>
                <w:color w:val="000000"/>
                <w:sz w:val="20"/>
              </w:rPr>
              <w:t>Configuración</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Estrategia Despliegue</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Desarrollo (DEV)</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Construcción local y pruebas unitarias.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Sintéticos locales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appsettings.Development.json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Compilación manual Visual Studio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Pruebas (QA/STG)</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Pruebas de integración, K-Means y QA.</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Sintéticos estructurados</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appsettings.Staging.json</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CI/CD GitHub Actions automatizado</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Producción (PROD)</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Acreditación y entrega final MVP.</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Sintéticos autorizados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appsettings.Production.json</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Instalador ejecutable WPF .NET 8</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Entornos de trabajo para la entrega del ejecutable C# WPF.</w:t>
      </w:r>
    </w:p>
    <w:p>
      <w:pPr>
        <w:pStyle w:val="Heading3"/>
        <w:spacing w:lineRule="auto" w:line="480" w:before="120" w:after="120"/>
        <w:ind w:hanging="0"/>
        <w:jc w:val="start"/>
        <w:rPr/>
      </w:pPr>
      <w:r>
        <w:rPr>
          <w:rFonts w:ascii="Times New Roman" w:hAnsi="Times New Roman"/>
          <w:b/>
          <w:i/>
          <w:color w:val="000000"/>
          <w:sz w:val="24"/>
        </w:rPr>
        <w:t>13.2 Diagrama de Despliegue (DEP-001)</w:t>
      </w:r>
    </w:p>
    <w:p>
      <w:pPr>
        <w:pStyle w:val="Normal"/>
        <w:spacing w:lineRule="auto" w:line="480" w:before="0" w:after="0"/>
        <w:ind w:firstLine="720"/>
        <w:jc w:val="start"/>
        <w:rPr/>
      </w:pPr>
      <w:r>
        <w:rPr>
          <w:b w:val="false"/>
          <w:i w:val="false"/>
          <w:color w:val="000000"/>
          <w:sz w:val="24"/>
        </w:rPr>
        <w:t>El Diagrama de Despliegue DEP-001 muestra la arquitectura física: los equipos clientes Windows ejecutan el instalador autocontenido de la aplicación C# WPF, comunicándose por HTTPS (Puerto 443) con el servidor backend Kestrel/IIS que aloja la API REST .NET 8. El backend se conecta en red local/privada con PostgreSQL (Puerto 5432) y MongoDB (Puerto 27017).</w:t>
      </w:r>
    </w:p>
    <w:p>
      <w:pPr>
        <w:pStyle w:val="Heading2"/>
        <w:spacing w:lineRule="auto" w:line="480" w:before="240" w:after="120"/>
        <w:ind w:hanging="0"/>
        <w:jc w:val="start"/>
        <w:rPr/>
      </w:pPr>
      <w:r>
        <w:rPr>
          <w:rFonts w:ascii="Times New Roman" w:hAnsi="Times New Roman"/>
          <w:b/>
          <w:i w:val="false"/>
          <w:color w:val="000000"/>
          <w:sz w:val="24"/>
        </w:rPr>
        <w:t>14. Calidad Técnica y Mantenibilidad</w:t>
      </w:r>
    </w:p>
    <w:p>
      <w:pPr>
        <w:pStyle w:val="Heading3"/>
        <w:spacing w:lineRule="auto" w:line="480" w:before="120" w:after="120"/>
        <w:ind w:hanging="0"/>
        <w:jc w:val="start"/>
        <w:rPr/>
      </w:pPr>
      <w:r>
        <w:rPr>
          <w:rFonts w:ascii="Times New Roman" w:hAnsi="Times New Roman"/>
          <w:b/>
          <w:i/>
          <w:color w:val="000000"/>
          <w:sz w:val="24"/>
        </w:rPr>
        <w:t>14.1 Convenciones del Repositorio Git / GitHub</w:t>
      </w:r>
    </w:p>
    <w:p>
      <w:pPr>
        <w:pStyle w:val="Normal"/>
        <w:spacing w:lineRule="auto" w:line="480" w:before="0" w:after="0"/>
        <w:ind w:firstLine="720"/>
        <w:jc w:val="start"/>
        <w:rPr/>
      </w:pPr>
      <w:r>
        <w:rPr>
          <w:b w:val="false"/>
          <w:i w:val="false"/>
          <w:color w:val="000000"/>
          <w:sz w:val="24"/>
        </w:rPr>
        <w:t>El código fuente se aloja en GitHub bajo una estructura limpia: /src/client (proyecto WPF), /src/backend (API REST .NET), /src/analytics (scripts Python), /docs (documentación APA 7) y /tests (suite xUnit). Se aplica el flujo de trabajo GitFlow con ramas main, develop y feature/ protegidas.</w:t>
      </w:r>
    </w:p>
    <w:p>
      <w:pPr>
        <w:pStyle w:val="Heading3"/>
        <w:spacing w:lineRule="auto" w:line="480" w:before="120" w:after="120"/>
        <w:ind w:hanging="0"/>
        <w:jc w:val="start"/>
        <w:rPr/>
      </w:pPr>
      <w:r>
        <w:rPr>
          <w:rFonts w:ascii="Times New Roman" w:hAnsi="Times New Roman"/>
          <w:b/>
          <w:i/>
          <w:color w:val="000000"/>
          <w:sz w:val="24"/>
        </w:rPr>
        <w:t>14.2 Aseguramiento Automatizado (CI/CD)</w:t>
      </w:r>
    </w:p>
    <w:p>
      <w:pPr>
        <w:pStyle w:val="Normal"/>
        <w:spacing w:lineRule="auto" w:line="480" w:before="0" w:after="0"/>
        <w:ind w:firstLine="720"/>
        <w:jc w:val="start"/>
        <w:rPr/>
      </w:pPr>
      <w:r>
        <w:rPr>
          <w:b w:val="false"/>
          <w:i w:val="false"/>
          <w:color w:val="000000"/>
          <w:sz w:val="24"/>
        </w:rPr>
        <w:t>El pipeline de GitHub Actions se dispara ante cada 'Pull Request' hacia develop, ejecutando tres pasos: 1) Restauración y compilación de la solución C# .NET 8; 2) Ejecución de la suite de pruebas unitarias xUnit con meta de cobertura del 80%; y 3) Linter de sintaxis para los scripts de Python con flake8.</w:t>
      </w:r>
    </w:p>
    <w:p>
      <w:pPr>
        <w:pStyle w:val="Heading2"/>
        <w:spacing w:lineRule="auto" w:line="480" w:before="240" w:after="120"/>
        <w:ind w:hanging="0"/>
        <w:jc w:val="start"/>
        <w:rPr/>
      </w:pPr>
      <w:r>
        <w:rPr>
          <w:rFonts w:ascii="Times New Roman" w:hAnsi="Times New Roman"/>
          <w:b/>
          <w:i w:val="false"/>
          <w:color w:val="000000"/>
          <w:sz w:val="24"/>
        </w:rPr>
        <w:t>15. Registro de Decisiones Arquitectónicas (ADR)</w:t>
      </w:r>
    </w:p>
    <w:p>
      <w:pPr>
        <w:pStyle w:val="Heading3"/>
        <w:spacing w:lineRule="auto" w:line="480" w:before="120" w:after="120"/>
        <w:ind w:hanging="0"/>
        <w:jc w:val="start"/>
        <w:rPr/>
      </w:pPr>
      <w:r>
        <w:rPr>
          <w:rFonts w:ascii="Times New Roman" w:hAnsi="Times New Roman"/>
          <w:b/>
          <w:i/>
          <w:color w:val="000000"/>
          <w:sz w:val="24"/>
        </w:rPr>
        <w:t>15.1 Registro Maestro de ADRs</w:t>
      </w:r>
    </w:p>
    <w:p>
      <w:pPr>
        <w:pStyle w:val="Normal"/>
        <w:spacing w:lineRule="auto" w:line="480" w:before="0" w:after="0"/>
        <w:ind w:firstLine="720"/>
        <w:jc w:val="start"/>
        <w:rPr/>
      </w:pPr>
      <w:r>
        <w:rPr>
          <w:b w:val="false"/>
          <w:i w:val="false"/>
          <w:color w:val="000000"/>
          <w:sz w:val="24"/>
        </w:rPr>
        <w:t>En la Tabla 18 se listan las tres decisiones arquitectónicas fundamentales registradas para el proyecto SITBIO.</w:t>
      </w:r>
    </w:p>
    <w:p>
      <w:pPr>
        <w:pStyle w:val="Normal"/>
        <w:spacing w:lineRule="auto" w:line="276" w:before="120" w:after="40"/>
        <w:ind w:hanging="0"/>
        <w:jc w:val="start"/>
        <w:rPr/>
      </w:pPr>
      <w:r>
        <w:rPr>
          <w:b/>
          <w:i w:val="false"/>
          <w:color w:val="000000"/>
          <w:sz w:val="24"/>
        </w:rPr>
        <w:t>Tabla 18</w:t>
      </w:r>
    </w:p>
    <w:p>
      <w:pPr>
        <w:pStyle w:val="Normal"/>
        <w:spacing w:lineRule="auto" w:line="276" w:before="0" w:after="120"/>
        <w:ind w:hanging="0"/>
        <w:jc w:val="start"/>
        <w:rPr/>
      </w:pPr>
      <w:r>
        <w:rPr>
          <w:b w:val="false"/>
          <w:i/>
          <w:color w:val="000000"/>
          <w:sz w:val="24"/>
        </w:rPr>
        <w:t>Registro Maestro de Decisiones Arquitectónicas (ADRs)</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872"/>
        <w:gridCol w:w="1872"/>
        <w:gridCol w:w="1872"/>
        <w:gridCol w:w="1872"/>
        <w:gridCol w:w="1872"/>
      </w:tblGrid>
      <w:tr>
        <w:trPr/>
        <w:tc>
          <w:tcPr>
            <w:tcW w:w="1872" w:type="dxa"/>
            <w:tcBorders>
              <w:top w:val="single" w:sz="8" w:space="0" w:color="000000"/>
            </w:tcBorders>
          </w:tcPr>
          <w:p>
            <w:pPr>
              <w:pStyle w:val="Normal"/>
              <w:spacing w:lineRule="auto" w:line="276" w:before="40" w:after="40"/>
              <w:jc w:val="start"/>
              <w:rPr/>
            </w:pPr>
            <w:r>
              <w:rPr>
                <w:b/>
                <w:i w:val="false"/>
                <w:color w:val="000000"/>
                <w:sz w:val="20"/>
              </w:rPr>
              <w:t>ID ADR</w:t>
            </w:r>
          </w:p>
        </w:tc>
        <w:tc>
          <w:tcPr>
            <w:tcW w:w="1872" w:type="dxa"/>
            <w:tcBorders>
              <w:top w:val="single" w:sz="8" w:space="0" w:color="000000"/>
            </w:tcBorders>
          </w:tcPr>
          <w:p>
            <w:pPr>
              <w:pStyle w:val="Normal"/>
              <w:spacing w:lineRule="auto" w:line="276" w:before="40" w:after="40"/>
              <w:jc w:val="start"/>
              <w:rPr/>
            </w:pPr>
            <w:r>
              <w:rPr>
                <w:b/>
                <w:i w:val="false"/>
                <w:color w:val="000000"/>
                <w:sz w:val="20"/>
              </w:rPr>
              <w:t>Título de la Decisión Arquitectónica</w:t>
            </w:r>
          </w:p>
        </w:tc>
        <w:tc>
          <w:tcPr>
            <w:tcW w:w="1872" w:type="dxa"/>
            <w:tcBorders>
              <w:top w:val="single" w:sz="8" w:space="0" w:color="000000"/>
            </w:tcBorders>
          </w:tcPr>
          <w:p>
            <w:pPr>
              <w:pStyle w:val="Normal"/>
              <w:spacing w:lineRule="auto" w:line="276" w:before="40" w:after="40"/>
              <w:jc w:val="start"/>
              <w:rPr/>
            </w:pPr>
            <w:r>
              <w:rPr>
                <w:b/>
                <w:i w:val="false"/>
                <w:color w:val="000000"/>
                <w:sz w:val="20"/>
              </w:rPr>
              <w:t>Estado</w:t>
            </w:r>
          </w:p>
        </w:tc>
        <w:tc>
          <w:tcPr>
            <w:tcW w:w="1872" w:type="dxa"/>
            <w:tcBorders>
              <w:top w:val="single" w:sz="8" w:space="0" w:color="000000"/>
            </w:tcBorders>
          </w:tcPr>
          <w:p>
            <w:pPr>
              <w:pStyle w:val="Normal"/>
              <w:spacing w:lineRule="auto" w:line="276" w:before="40" w:after="40"/>
              <w:jc w:val="start"/>
              <w:rPr/>
            </w:pPr>
            <w:r>
              <w:rPr>
                <w:b/>
                <w:i w:val="false"/>
                <w:color w:val="000000"/>
                <w:sz w:val="20"/>
              </w:rPr>
              <w:t>Driver Clave</w:t>
            </w:r>
          </w:p>
        </w:tc>
        <w:tc>
          <w:tcPr>
            <w:tcW w:w="1872"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Ubicación en Repo</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ADR-001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Adopción exclusiva de Aplicación de Escritorio C# WPF</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Aceptado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DRV-001 / RI-01</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/docs/adr/ADR-001-WPF-Desktop.md</w:t>
            </w:r>
          </w:p>
        </w:tc>
      </w:tr>
      <w:tr>
        <w:trPr/>
        <w:tc>
          <w:tcPr>
            <w:tcW w:w="1872" w:type="dxa"/>
            <w:tcBorders/>
            <w:tcMar>
              <w:top w:w="80" w:type="dxa"/>
              <w:bottom w:w="80" w:type="dxa"/>
            </w:tcMar>
          </w:tcPr>
          <w:p>
            <w:pPr>
              <w:pStyle w:val="Normal"/>
              <w:spacing w:lineRule="auto" w:line="276" w:before="40" w:after="40"/>
              <w:jc w:val="start"/>
              <w:rPr/>
            </w:pPr>
            <w:r>
              <w:rPr>
                <w:b w:val="false"/>
                <w:i w:val="false"/>
                <w:color w:val="000000"/>
                <w:sz w:val="19"/>
              </w:rPr>
              <w:t>ADR-002</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Persistencia de Intervenciones y camposDinamicos en MongoDB</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Aceptado</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DRV-002 / RF-005</w:t>
            </w:r>
          </w:p>
        </w:tc>
        <w:tc>
          <w:tcPr>
            <w:tcW w:w="1872" w:type="dxa"/>
            <w:tcBorders/>
            <w:tcMar>
              <w:top w:w="80" w:type="dxa"/>
              <w:bottom w:w="80" w:type="dxa"/>
            </w:tcMar>
          </w:tcPr>
          <w:p>
            <w:pPr>
              <w:pStyle w:val="Normal"/>
              <w:spacing w:lineRule="auto" w:line="276" w:before="40" w:after="40"/>
              <w:jc w:val="start"/>
              <w:rPr/>
            </w:pPr>
            <w:r>
              <w:rPr>
                <w:b w:val="false"/>
                <w:i w:val="false"/>
                <w:color w:val="000000"/>
                <w:sz w:val="19"/>
              </w:rPr>
              <w:t>/docs/adr/ADR-002-MongoDB-NoSQL.md</w:t>
            </w:r>
          </w:p>
        </w:tc>
      </w:tr>
      <w:tr>
        <w:trPr/>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ADR-003</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Pipeline de Ciencia de Datos en Python (Pandas y K-Means)</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Aceptado</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DRV-004 / RF-010</w:t>
            </w:r>
          </w:p>
        </w:tc>
        <w:tc>
          <w:tcPr>
            <w:tcW w:w="1872"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/docs/adr/ADR-003-Python-KMeans.md</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Decisiones de arquitectura justificadas y versionadas.</w:t>
      </w:r>
    </w:p>
    <w:p>
      <w:pPr>
        <w:pStyle w:val="Heading3"/>
        <w:spacing w:lineRule="auto" w:line="480" w:before="120" w:after="120"/>
        <w:ind w:hanging="0"/>
        <w:jc w:val="start"/>
        <w:rPr/>
      </w:pPr>
      <w:r>
        <w:rPr>
          <w:rFonts w:ascii="Times New Roman" w:hAnsi="Times New Roman"/>
          <w:b/>
          <w:i/>
          <w:color w:val="000000"/>
          <w:sz w:val="24"/>
        </w:rPr>
        <w:t>15.2 Ficha Detallada de Decisiones Críticas</w:t>
      </w:r>
    </w:p>
    <w:p>
      <w:pPr>
        <w:pStyle w:val="Normal"/>
        <w:spacing w:lineRule="auto" w:line="480" w:before="0" w:after="0"/>
        <w:ind w:firstLine="720"/>
        <w:jc w:val="start"/>
        <w:rPr/>
      </w:pPr>
      <w:r>
        <w:rPr>
          <w:b w:val="false"/>
          <w:i w:val="false"/>
          <w:color w:val="000000"/>
          <w:sz w:val="24"/>
        </w:rPr>
        <w:t xml:space="preserve">• </w:t>
      </w:r>
      <w:r>
        <w:rPr>
          <w:b w:val="false"/>
          <w:i w:val="false"/>
          <w:color w:val="000000"/>
          <w:sz w:val="24"/>
        </w:rPr>
        <w:t>ADR-001 (C# WPF): Se seleccionó la aplicación de escritorio nativa en C# WPF para concentrar el esfuerzo en una plataforma sólida, eliminando la sobrecarga de maquetación web responsiva y asegurando el cumplimiento del cronograma académico de 12 semanas.</w:t>
        <w:br/>
        <w:t>• ADR-002 (MongoDB NoSQL): Se eligió MongoDB para la colección de intervenciones técnicas debido a la heterogeneidad de variables por equipo biomédico y para soportar la propiedad anidada camposDinamicos sin alterar el esquema relacional SQL.</w:t>
        <w:br/>
        <w:t>• ADR-003 (Python K-Means): Se integró Python con PyMongo, Pandas y Scikit-learn para procesar datos históricos sintéticos y generar agrupamientos no supervisados de mantenimientos por patrón de costo y duración.</w:t>
      </w:r>
    </w:p>
    <w:p>
      <w:pPr>
        <w:pStyle w:val="Heading2"/>
        <w:spacing w:lineRule="auto" w:line="480" w:before="240" w:after="120"/>
        <w:ind w:hanging="0"/>
        <w:jc w:val="start"/>
        <w:rPr/>
      </w:pPr>
      <w:r>
        <w:rPr>
          <w:rFonts w:ascii="Times New Roman" w:hAnsi="Times New Roman"/>
          <w:b/>
          <w:i w:val="false"/>
          <w:color w:val="000000"/>
          <w:sz w:val="24"/>
        </w:rPr>
        <w:t>16. Riesgos Técnicos, Trazabilidad y Aprobación</w:t>
      </w:r>
    </w:p>
    <w:p>
      <w:pPr>
        <w:pStyle w:val="Heading3"/>
        <w:spacing w:lineRule="auto" w:line="480" w:before="120" w:after="120"/>
        <w:ind w:hanging="0"/>
        <w:jc w:val="start"/>
        <w:rPr/>
      </w:pPr>
      <w:r>
        <w:rPr>
          <w:rFonts w:ascii="Times New Roman" w:hAnsi="Times New Roman"/>
          <w:b/>
          <w:i/>
          <w:color w:val="000000"/>
          <w:sz w:val="24"/>
        </w:rPr>
        <w:t>16.1 Matriz de Riesgos Técnicos y Contingencias</w:t>
      </w:r>
    </w:p>
    <w:p>
      <w:pPr>
        <w:pStyle w:val="Normal"/>
        <w:spacing w:lineRule="auto" w:line="480" w:before="0" w:after="0"/>
        <w:ind w:firstLine="720"/>
        <w:jc w:val="start"/>
        <w:rPr/>
      </w:pPr>
      <w:r>
        <w:rPr>
          <w:b w:val="false"/>
          <w:i w:val="false"/>
          <w:color w:val="000000"/>
          <w:sz w:val="24"/>
        </w:rPr>
        <w:t>En la Tabla 19 se detallan los riesgos técnicos identificados y sus acciones de contingencia.</w:t>
      </w:r>
    </w:p>
    <w:p>
      <w:pPr>
        <w:pStyle w:val="Normal"/>
        <w:spacing w:lineRule="auto" w:line="276" w:before="120" w:after="40"/>
        <w:ind w:hanging="0"/>
        <w:jc w:val="start"/>
        <w:rPr/>
      </w:pPr>
      <w:r>
        <w:rPr>
          <w:b/>
          <w:i w:val="false"/>
          <w:color w:val="000000"/>
          <w:sz w:val="24"/>
        </w:rPr>
        <w:t>Tabla 19</w:t>
      </w:r>
    </w:p>
    <w:p>
      <w:pPr>
        <w:pStyle w:val="Normal"/>
        <w:spacing w:lineRule="auto" w:line="276" w:before="0" w:after="120"/>
        <w:ind w:hanging="0"/>
        <w:jc w:val="start"/>
        <w:rPr/>
      </w:pPr>
      <w:r>
        <w:rPr>
          <w:b w:val="false"/>
          <w:i/>
          <w:color w:val="000000"/>
          <w:sz w:val="24"/>
        </w:rPr>
        <w:t>Matriz de Riesgos Técnicos y Planes de Contingencia</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op w:val="single" w:sz="8" w:space="0" w:color="000000"/>
            </w:tcBorders>
          </w:tcPr>
          <w:p>
            <w:pPr>
              <w:pStyle w:val="Normal"/>
              <w:spacing w:lineRule="auto" w:line="276" w:before="40" w:after="40"/>
              <w:jc w:val="start"/>
              <w:rPr/>
            </w:pPr>
            <w:r>
              <w:rPr>
                <w:b/>
                <w:i w:val="false"/>
                <w:color w:val="000000"/>
                <w:sz w:val="20"/>
              </w:rPr>
              <w:t>ID Riesgo</w:t>
            </w:r>
          </w:p>
        </w:tc>
        <w:tc>
          <w:tcPr>
            <w:tcW w:w="1559" w:type="dxa"/>
            <w:tcBorders>
              <w:top w:val="single" w:sz="8" w:space="0" w:color="000000"/>
            </w:tcBorders>
          </w:tcPr>
          <w:p>
            <w:pPr>
              <w:pStyle w:val="Normal"/>
              <w:spacing w:lineRule="auto" w:line="276" w:before="40" w:after="40"/>
              <w:jc w:val="start"/>
              <w:rPr/>
            </w:pPr>
            <w:r>
              <w:rPr>
                <w:b/>
                <w:i w:val="false"/>
                <w:color w:val="000000"/>
                <w:sz w:val="20"/>
              </w:rPr>
              <w:t>Descripción del Riesgo Técnico</w:t>
            </w:r>
          </w:p>
        </w:tc>
        <w:tc>
          <w:tcPr>
            <w:tcW w:w="1561" w:type="dxa"/>
            <w:tcBorders>
              <w:top w:val="single" w:sz="8" w:space="0" w:color="000000"/>
            </w:tcBorders>
          </w:tcPr>
          <w:p>
            <w:pPr>
              <w:pStyle w:val="Normal"/>
              <w:spacing w:lineRule="auto" w:line="276" w:before="40" w:after="40"/>
              <w:jc w:val="start"/>
              <w:rPr/>
            </w:pPr>
            <w:r>
              <w:rPr>
                <w:b/>
                <w:i w:val="false"/>
                <w:color w:val="000000"/>
                <w:sz w:val="20"/>
              </w:rPr>
              <w:t>Prob.</w:t>
            </w:r>
          </w:p>
        </w:tc>
        <w:tc>
          <w:tcPr>
            <w:tcW w:w="1560" w:type="dxa"/>
            <w:tcBorders>
              <w:top w:val="single" w:sz="8" w:space="0" w:color="000000"/>
            </w:tcBorders>
          </w:tcPr>
          <w:p>
            <w:pPr>
              <w:pStyle w:val="Normal"/>
              <w:spacing w:lineRule="auto" w:line="276" w:before="40" w:after="40"/>
              <w:jc w:val="start"/>
              <w:rPr/>
            </w:pPr>
            <w:r>
              <w:rPr>
                <w:b/>
                <w:i w:val="false"/>
                <w:color w:val="000000"/>
                <w:sz w:val="20"/>
              </w:rPr>
              <w:t>Impacto</w:t>
            </w:r>
          </w:p>
        </w:tc>
        <w:tc>
          <w:tcPr>
            <w:tcW w:w="1559" w:type="dxa"/>
            <w:tcBorders>
              <w:top w:val="single" w:sz="8" w:space="0" w:color="000000"/>
            </w:tcBorders>
          </w:tcPr>
          <w:p>
            <w:pPr>
              <w:pStyle w:val="Normal"/>
              <w:spacing w:lineRule="auto" w:line="276" w:before="40" w:after="40"/>
              <w:jc w:val="start"/>
              <w:rPr/>
            </w:pPr>
            <w:r>
              <w:rPr>
                <w:b/>
                <w:i w:val="false"/>
                <w:color w:val="000000"/>
                <w:sz w:val="20"/>
              </w:rPr>
              <w:t>Plan de Contingencia / Mitigación</w:t>
            </w:r>
          </w:p>
        </w:tc>
        <w:tc>
          <w:tcPr>
            <w:tcW w:w="1561"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Responsable</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RT-001</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Lentitud en la interfaz WPF al cargar listas pesadas.</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Media</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Alto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Virtualización de controles UI y consultas paginadas.</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Miguel Ocampo</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RT-002</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Aislamiento Multi-Tenant deficiente en backend.</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Baja</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Alto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Pruebas de acceso cruzado y filtrado obligatorio tenant_id.</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Esteban Bedoya</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RT-003</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Incompatibilidad de esquema BSON en MongoDB.</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Baja</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Medio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Validación estricta con JSON Schema en colecciones.</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Héctor Cuesta</w:t>
            </w:r>
          </w:p>
        </w:tc>
      </w:tr>
      <w:tr>
        <w:trPr/>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RT-004</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Fallas en la ejecución del script Python K-Means.</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Baja</w:t>
            </w:r>
          </w:p>
        </w:tc>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Bajo</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Manejo de excepciones en PyMongo y datasets sintéticos.</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Juan José García</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Mitigación de riesgos de arquitectura e implementación.</w:t>
      </w:r>
    </w:p>
    <w:p>
      <w:pPr>
        <w:pStyle w:val="Heading3"/>
        <w:spacing w:lineRule="auto" w:line="480" w:before="120" w:after="120"/>
        <w:ind w:hanging="0"/>
        <w:jc w:val="start"/>
        <w:rPr/>
      </w:pPr>
      <w:r>
        <w:rPr>
          <w:rFonts w:ascii="Times New Roman" w:hAnsi="Times New Roman"/>
          <w:b/>
          <w:i/>
          <w:color w:val="000000"/>
          <w:sz w:val="24"/>
        </w:rPr>
        <w:t>16.2 Matriz de Trazabilidad Técnica Resumida</w:t>
      </w:r>
    </w:p>
    <w:p>
      <w:pPr>
        <w:pStyle w:val="Normal"/>
        <w:spacing w:lineRule="auto" w:line="480" w:before="0" w:after="0"/>
        <w:ind w:firstLine="720"/>
        <w:jc w:val="start"/>
        <w:rPr/>
      </w:pPr>
      <w:r>
        <w:rPr>
          <w:b w:val="false"/>
          <w:i w:val="false"/>
          <w:color w:val="000000"/>
          <w:sz w:val="24"/>
        </w:rPr>
        <w:t>En la Tabla 20 se establece la trazabilidad cruzada entre Requisitos, Componentes, APIs, ADRs y Pruebas QA.</w:t>
      </w:r>
    </w:p>
    <w:p>
      <w:pPr>
        <w:pStyle w:val="Normal"/>
        <w:spacing w:lineRule="auto" w:line="276" w:before="120" w:after="40"/>
        <w:ind w:hanging="0"/>
        <w:jc w:val="start"/>
        <w:rPr/>
      </w:pPr>
      <w:r>
        <w:rPr>
          <w:b/>
          <w:i w:val="false"/>
          <w:color w:val="000000"/>
          <w:sz w:val="24"/>
        </w:rPr>
        <w:t>Tabla 20</w:t>
      </w:r>
    </w:p>
    <w:p>
      <w:pPr>
        <w:pStyle w:val="Normal"/>
        <w:spacing w:lineRule="auto" w:line="276" w:before="0" w:after="120"/>
        <w:ind w:hanging="0"/>
        <w:jc w:val="start"/>
        <w:rPr/>
      </w:pPr>
      <w:r>
        <w:rPr>
          <w:b w:val="false"/>
          <w:i/>
          <w:color w:val="000000"/>
          <w:sz w:val="24"/>
        </w:rPr>
        <w:t>Matriz de Trazabilidad Técnica Resumida</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op w:val="single" w:sz="8" w:space="0" w:color="000000"/>
            </w:tcBorders>
          </w:tcPr>
          <w:p>
            <w:pPr>
              <w:pStyle w:val="Normal"/>
              <w:spacing w:lineRule="auto" w:line="276" w:before="40" w:after="40"/>
              <w:jc w:val="start"/>
              <w:rPr/>
            </w:pPr>
            <w:r>
              <w:rPr>
                <w:b/>
                <w:i w:val="false"/>
                <w:color w:val="000000"/>
                <w:sz w:val="20"/>
              </w:rPr>
              <w:t>Requisito</w:t>
            </w:r>
          </w:p>
        </w:tc>
        <w:tc>
          <w:tcPr>
            <w:tcW w:w="1559" w:type="dxa"/>
            <w:tcBorders>
              <w:top w:val="single" w:sz="8" w:space="0" w:color="000000"/>
            </w:tcBorders>
          </w:tcPr>
          <w:p>
            <w:pPr>
              <w:pStyle w:val="Normal"/>
              <w:spacing w:lineRule="auto" w:line="276" w:before="40" w:after="40"/>
              <w:jc w:val="start"/>
              <w:rPr/>
            </w:pPr>
            <w:r>
              <w:rPr>
                <w:b/>
                <w:i w:val="false"/>
                <w:color w:val="000000"/>
                <w:sz w:val="20"/>
              </w:rPr>
              <w:t>Componente</w:t>
            </w:r>
          </w:p>
        </w:tc>
        <w:tc>
          <w:tcPr>
            <w:tcW w:w="1561" w:type="dxa"/>
            <w:tcBorders>
              <w:top w:val="single" w:sz="8" w:space="0" w:color="000000"/>
            </w:tcBorders>
          </w:tcPr>
          <w:p>
            <w:pPr>
              <w:pStyle w:val="Normal"/>
              <w:spacing w:lineRule="auto" w:line="276" w:before="40" w:after="40"/>
              <w:jc w:val="start"/>
              <w:rPr/>
            </w:pPr>
            <w:r>
              <w:rPr>
                <w:b/>
                <w:i w:val="false"/>
                <w:color w:val="000000"/>
                <w:sz w:val="20"/>
              </w:rPr>
              <w:t>Entidad / Colección</w:t>
            </w:r>
          </w:p>
        </w:tc>
        <w:tc>
          <w:tcPr>
            <w:tcW w:w="1560" w:type="dxa"/>
            <w:tcBorders>
              <w:top w:val="single" w:sz="8" w:space="0" w:color="000000"/>
            </w:tcBorders>
          </w:tcPr>
          <w:p>
            <w:pPr>
              <w:pStyle w:val="Normal"/>
              <w:spacing w:lineRule="auto" w:line="276" w:before="40" w:after="40"/>
              <w:jc w:val="start"/>
              <w:rPr/>
            </w:pPr>
            <w:r>
              <w:rPr>
                <w:b/>
                <w:i w:val="false"/>
                <w:color w:val="000000"/>
                <w:sz w:val="20"/>
              </w:rPr>
              <w:t>Endpoint REST</w:t>
            </w:r>
          </w:p>
        </w:tc>
        <w:tc>
          <w:tcPr>
            <w:tcW w:w="1559" w:type="dxa"/>
            <w:tcBorders>
              <w:top w:val="single" w:sz="8" w:space="0" w:color="000000"/>
            </w:tcBorders>
          </w:tcPr>
          <w:p>
            <w:pPr>
              <w:pStyle w:val="Normal"/>
              <w:spacing w:lineRule="auto" w:line="276" w:before="40" w:after="40"/>
              <w:jc w:val="start"/>
              <w:rPr/>
            </w:pPr>
            <w:r>
              <w:rPr>
                <w:b/>
                <w:i w:val="false"/>
                <w:color w:val="000000"/>
                <w:sz w:val="20"/>
              </w:rPr>
              <w:t>ADR</w:t>
            </w:r>
          </w:p>
        </w:tc>
        <w:tc>
          <w:tcPr>
            <w:tcW w:w="1561"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Caso Prueba QA</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RF-002 (JWT)</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CMP-API-AUTH</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USUARIO (SQL)</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API-AUTH-001</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ADR-001</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CP-001 / CP-002</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RF-003 (Inventario)</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CMP-API-EQP</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EQUIPO_BIOMEDICO</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API-EQP-001/002</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ADR-001</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CP-004 / CP-005</w:t>
            </w:r>
          </w:p>
        </w:tc>
      </w:tr>
      <w:tr>
        <w:trPr/>
        <w:tc>
          <w:tcPr>
            <w:tcW w:w="1560" w:type="dxa"/>
            <w:tcBorders/>
            <w:tcMar>
              <w:top w:w="80" w:type="dxa"/>
              <w:bottom w:w="80" w:type="dxa"/>
            </w:tcMar>
          </w:tcPr>
          <w:p>
            <w:pPr>
              <w:pStyle w:val="Normal"/>
              <w:spacing w:lineRule="auto" w:line="276" w:before="40" w:after="40"/>
              <w:jc w:val="start"/>
              <w:rPr/>
            </w:pPr>
            <w:r>
              <w:rPr>
                <w:b w:val="false"/>
                <w:i w:val="false"/>
                <w:color w:val="000000"/>
                <w:sz w:val="19"/>
              </w:rPr>
              <w:t>RF-005 (MongoDB)</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CMP-MONGO-SRV</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intervenciones (BSON)</w:t>
            </w:r>
          </w:p>
        </w:tc>
        <w:tc>
          <w:tcPr>
            <w:tcW w:w="1560" w:type="dxa"/>
            <w:tcBorders/>
            <w:tcMar>
              <w:top w:w="80" w:type="dxa"/>
              <w:bottom w:w="80" w:type="dxa"/>
            </w:tcMar>
          </w:tcPr>
          <w:p>
            <w:pPr>
              <w:pStyle w:val="Normal"/>
              <w:spacing w:lineRule="auto" w:line="276" w:before="40" w:after="40"/>
              <w:jc w:val="start"/>
              <w:rPr/>
            </w:pPr>
            <w:r>
              <w:rPr>
                <w:b w:val="false"/>
                <w:i w:val="false"/>
                <w:color w:val="000000"/>
                <w:sz w:val="19"/>
              </w:rPr>
              <w:t>API-MONGO-001</w:t>
            </w:r>
          </w:p>
        </w:tc>
        <w:tc>
          <w:tcPr>
            <w:tcW w:w="1559" w:type="dxa"/>
            <w:tcBorders/>
            <w:tcMar>
              <w:top w:w="80" w:type="dxa"/>
              <w:bottom w:w="80" w:type="dxa"/>
            </w:tcMar>
          </w:tcPr>
          <w:p>
            <w:pPr>
              <w:pStyle w:val="Normal"/>
              <w:spacing w:lineRule="auto" w:line="276" w:before="40" w:after="40"/>
              <w:jc w:val="start"/>
              <w:rPr/>
            </w:pPr>
            <w:r>
              <w:rPr>
                <w:b w:val="false"/>
                <w:i w:val="false"/>
                <w:color w:val="000000"/>
                <w:sz w:val="19"/>
              </w:rPr>
              <w:t>ADR-002</w:t>
            </w:r>
          </w:p>
        </w:tc>
        <w:tc>
          <w:tcPr>
            <w:tcW w:w="1561" w:type="dxa"/>
            <w:tcBorders/>
            <w:tcMar>
              <w:top w:w="80" w:type="dxa"/>
              <w:bottom w:w="80" w:type="dxa"/>
            </w:tcMar>
          </w:tcPr>
          <w:p>
            <w:pPr>
              <w:pStyle w:val="Normal"/>
              <w:spacing w:lineRule="auto" w:line="276" w:before="40" w:after="40"/>
              <w:jc w:val="start"/>
              <w:rPr/>
            </w:pPr>
            <w:r>
              <w:rPr>
                <w:b w:val="false"/>
                <w:i w:val="false"/>
                <w:color w:val="000000"/>
                <w:sz w:val="19"/>
              </w:rPr>
              <w:t>CP-008 / CP-010</w:t>
            </w:r>
          </w:p>
        </w:tc>
      </w:tr>
      <w:tr>
        <w:trPr/>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RF-010 (K-Means)</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CMP-PY-ANALYTICS</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intervenciones (BSON)</w:t>
            </w:r>
          </w:p>
        </w:tc>
        <w:tc>
          <w:tcPr>
            <w:tcW w:w="156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API-PY-001</w:t>
            </w:r>
          </w:p>
        </w:tc>
        <w:tc>
          <w:tcPr>
            <w:tcW w:w="1559"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ADR-003</w:t>
            </w:r>
          </w:p>
        </w:tc>
        <w:tc>
          <w:tcPr>
            <w:tcW w:w="1561"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CP-011 / CP-012</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Trazabilidad completa entre especificación, arquitectura y calidad.</w:t>
      </w:r>
    </w:p>
    <w:p>
      <w:pPr>
        <w:pStyle w:val="Heading3"/>
        <w:spacing w:lineRule="auto" w:line="480" w:before="120" w:after="120"/>
        <w:ind w:hanging="0"/>
        <w:jc w:val="start"/>
        <w:rPr/>
      </w:pPr>
      <w:r>
        <w:rPr>
          <w:rFonts w:ascii="Times New Roman" w:hAnsi="Times New Roman"/>
          <w:b/>
          <w:i/>
          <w:color w:val="000000"/>
          <w:sz w:val="24"/>
        </w:rPr>
        <w:t>16.3 Lista de Chequeo Institucional SENA (ADSO-ARQ-01)</w:t>
      </w:r>
    </w:p>
    <w:p>
      <w:pPr>
        <w:pStyle w:val="Normal"/>
        <w:spacing w:lineRule="auto" w:line="480" w:before="0" w:after="0"/>
        <w:ind w:firstLine="720"/>
        <w:jc w:val="start"/>
        <w:rPr/>
      </w:pPr>
      <w:r>
        <w:rPr>
          <w:b w:val="false"/>
          <w:i w:val="false"/>
          <w:color w:val="000000"/>
          <w:sz w:val="24"/>
        </w:rPr>
        <w:t>En la Tabla 21 se presenta la lista de chequeo de criterios de calidad con la que el instructor evalúa este documento.</w:t>
      </w:r>
    </w:p>
    <w:p>
      <w:pPr>
        <w:pStyle w:val="Normal"/>
        <w:spacing w:lineRule="auto" w:line="276" w:before="120" w:after="40"/>
        <w:ind w:hanging="0"/>
        <w:jc w:val="start"/>
        <w:rPr/>
      </w:pPr>
      <w:r>
        <w:rPr>
          <w:b/>
          <w:i w:val="false"/>
          <w:color w:val="000000"/>
          <w:sz w:val="24"/>
        </w:rPr>
        <w:t>Tabla 21</w:t>
      </w:r>
    </w:p>
    <w:p>
      <w:pPr>
        <w:pStyle w:val="Normal"/>
        <w:spacing w:lineRule="auto" w:line="276" w:before="0" w:after="120"/>
        <w:ind w:hanging="0"/>
        <w:jc w:val="start"/>
        <w:rPr/>
      </w:pPr>
      <w:r>
        <w:rPr>
          <w:b w:val="false"/>
          <w:i/>
          <w:color w:val="000000"/>
          <w:sz w:val="24"/>
        </w:rPr>
        <w:t>Lista de Chequeo de Criterios de Calidad ADSO-ARQ-01 SENA</w:t>
      </w:r>
    </w:p>
    <w:tbl>
      <w:tblPr>
        <w:tblW w:w="936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20"/>
        <w:gridCol w:w="3120"/>
        <w:gridCol w:w="3120"/>
      </w:tblGrid>
      <w:tr>
        <w:trPr/>
        <w:tc>
          <w:tcPr>
            <w:tcW w:w="3120" w:type="dxa"/>
            <w:tcBorders>
              <w:top w:val="single" w:sz="8" w:space="0" w:color="000000"/>
            </w:tcBorders>
          </w:tcPr>
          <w:p>
            <w:pPr>
              <w:pStyle w:val="Normal"/>
              <w:spacing w:lineRule="auto" w:line="276" w:before="40" w:after="40"/>
              <w:jc w:val="start"/>
              <w:rPr/>
            </w:pPr>
            <w:r>
              <w:rPr>
                <w:b/>
                <w:i w:val="false"/>
                <w:color w:val="000000"/>
                <w:sz w:val="20"/>
              </w:rPr>
              <w:t>Criterio de Evaluación Institucional ARQ-01</w:t>
            </w:r>
          </w:p>
        </w:tc>
        <w:tc>
          <w:tcPr>
            <w:tcW w:w="3120" w:type="dxa"/>
            <w:tcBorders>
              <w:top w:val="single" w:sz="8" w:space="0" w:color="000000"/>
            </w:tcBorders>
          </w:tcPr>
          <w:p>
            <w:pPr>
              <w:pStyle w:val="Normal"/>
              <w:spacing w:lineRule="auto" w:line="276" w:before="40" w:after="40"/>
              <w:jc w:val="start"/>
              <w:rPr/>
            </w:pPr>
            <w:r>
              <w:rPr>
                <w:b/>
                <w:i w:val="false"/>
                <w:color w:val="000000"/>
                <w:sz w:val="20"/>
              </w:rPr>
              <w:t>Cumple</w:t>
            </w:r>
          </w:p>
        </w:tc>
        <w:tc>
          <w:tcPr>
            <w:tcW w:w="3120" w:type="dxa"/>
            <w:tcBorders>
              <w:top w:val="single" w:sz="8" w:space="0" w:color="000000"/>
              <w:bottom w:val="single" w:sz="8" w:space="0" w:color="000000"/>
            </w:tcBorders>
          </w:tcPr>
          <w:p>
            <w:pPr>
              <w:pStyle w:val="Normal"/>
              <w:spacing w:lineRule="auto" w:line="276" w:before="40" w:after="40"/>
              <w:jc w:val="start"/>
              <w:rPr/>
            </w:pPr>
            <w:r>
              <w:rPr>
                <w:b/>
                <w:i w:val="false"/>
                <w:color w:val="000000"/>
                <w:sz w:val="20"/>
              </w:rPr>
              <w:t>Observación del Evaluador SENA</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1. El documento cuenta con ficha técnica, control de versiones y aprobaciones.</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Verificado en Tablas 1, 2 y 3.</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2. Se definen el propósito, alcance y principios rectores de arquitectura.</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Sección 2 aprobada.</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3. Se presenta la articulación metodológica y convenciones de prefijos.</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Sección 3 con prefijos CMP, DAT, API, ADR.</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4. Los drivers y atributos de calidad están identificados y escenarizados.</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Tablas 4 y 5 completas.</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5. Se describe el contexto, actores y diagrama C4 de Nivel 1.</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Sección 5 y Tabla 6.</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6. La selección del patrón cliente-servidor C# WPF está justificada.</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Evaluación de alternativas en Tabla 7 y ADR-001.</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7. Se incluyen las vistas C4 de Contenedores y Componentes.</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Modelado C4 Nivel 2 y Nivel 3 en Sección 7.</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8. Se detalla el catálogo de componentes y matriz de dependencias.</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Tablas 10 y 11 aprobadas.</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9. El modelo de persistencia híbrido (SQL + MongoDB) está especificado.</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Tablas 12, 13 y 14 completas.</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10. Los contratos de la API REST y endpoints están catalogados.</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Catálogo de APIs en Tabla 15.</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11. Se definen la matriz de amenazas, seguridad JWT, BCrypt y RBAC.</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Sección 11 y Tabla 16.</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12. El manejo de errores, Serilog y observabilidad están especificados.</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Sección 12 aprobada.</w:t>
            </w:r>
          </w:p>
        </w:tc>
      </w:tr>
      <w:tr>
        <w:trPr/>
        <w:tc>
          <w:tcPr>
            <w:tcW w:w="3120" w:type="dxa"/>
            <w:tcBorders/>
            <w:tcMar>
              <w:top w:w="80" w:type="dxa"/>
              <w:bottom w:w="80" w:type="dxa"/>
            </w:tcMar>
          </w:tcPr>
          <w:p>
            <w:pPr>
              <w:pStyle w:val="Normal"/>
              <w:spacing w:lineRule="auto" w:line="276" w:before="40" w:after="40"/>
              <w:jc w:val="start"/>
              <w:rPr/>
            </w:pPr>
            <w:r>
              <w:rPr>
                <w:b w:val="false"/>
                <w:i w:val="false"/>
                <w:color w:val="000000"/>
                <w:sz w:val="19"/>
              </w:rPr>
              <w:t>13. Se caracterizan los ambientes, diagrama de despliegue y CI/CD.</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tcMar>
              <w:top w:w="80" w:type="dxa"/>
              <w:bottom w:w="80" w:type="dxa"/>
            </w:tcMar>
          </w:tcPr>
          <w:p>
            <w:pPr>
              <w:pStyle w:val="Normal"/>
              <w:spacing w:lineRule="auto" w:line="276" w:before="40" w:after="40"/>
              <w:jc w:val="start"/>
              <w:rPr/>
            </w:pPr>
            <w:r>
              <w:rPr>
                <w:b w:val="false"/>
                <w:i w:val="false"/>
                <w:color w:val="000000"/>
                <w:sz w:val="19"/>
              </w:rPr>
              <w:t>Tabla 17 y GitHub Actions.</w:t>
            </w:r>
          </w:p>
        </w:tc>
      </w:tr>
      <w:tr>
        <w:trPr/>
        <w:tc>
          <w:tcPr>
            <w:tcW w:w="312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14. El documento cumple el formato de presentación APA 7.ª edición.</w:t>
            </w:r>
          </w:p>
        </w:tc>
        <w:tc>
          <w:tcPr>
            <w:tcW w:w="312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Sí</w:t>
            </w:r>
          </w:p>
        </w:tc>
        <w:tc>
          <w:tcPr>
            <w:tcW w:w="3120" w:type="dxa"/>
            <w:tcBorders>
              <w:bottom w:val="single" w:sz="8" w:space="0" w:color="000000"/>
            </w:tcBorders>
            <w:tcMar>
              <w:top w:w="80" w:type="dxa"/>
              <w:bottom w:w="80" w:type="dxa"/>
            </w:tcMar>
          </w:tcPr>
          <w:p>
            <w:pPr>
              <w:pStyle w:val="Normal"/>
              <w:spacing w:lineRule="auto" w:line="276" w:before="40" w:after="40"/>
              <w:jc w:val="start"/>
              <w:rPr/>
            </w:pPr>
            <w:r>
              <w:rPr>
                <w:b w:val="false"/>
                <w:i w:val="false"/>
                <w:color w:val="000000"/>
                <w:sz w:val="19"/>
              </w:rPr>
              <w:t>Times New Roman 12 pt, tablas APA y referencias.</w:t>
            </w:r>
          </w:p>
        </w:tc>
      </w:tr>
    </w:tbl>
    <w:p>
      <w:pPr>
        <w:pStyle w:val="Normal"/>
        <w:spacing w:lineRule="auto" w:line="276" w:before="80" w:after="240"/>
        <w:ind w:hanging="0"/>
        <w:jc w:val="start"/>
        <w:rPr/>
      </w:pPr>
      <w:r>
        <w:rPr>
          <w:b w:val="false"/>
          <w:i/>
          <w:color w:val="000000"/>
          <w:sz w:val="19"/>
        </w:rPr>
        <w:t xml:space="preserve">Nota. </w:t>
      </w:r>
      <w:r>
        <w:rPr>
          <w:b w:val="false"/>
          <w:i w:val="false"/>
          <w:color w:val="000000"/>
          <w:sz w:val="19"/>
        </w:rPr>
        <w:t>Instrumento de evaluación institucional para la guía ADSO-ARQ-01.</w:t>
      </w:r>
    </w:p>
    <w:p>
      <w:pPr>
        <w:pStyle w:val="Normal"/>
        <w:rPr/>
      </w:pPr>
      <w:r>
        <w:rPr/>
        <w:t>Anexos:</w:t>
      </w:r>
    </w:p>
    <w:p>
      <w:pPr>
        <w:pStyle w:val="Normal"/>
        <w:rPr/>
      </w:pPr>
      <w:r>
        <w:rPr/>
        <w:t>Modelo Entidad Relacion:</w:t>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646366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943600" cy="6463665"/>
                    </a:xfrm>
                    <a:prstGeom prst="rect">
                      <a:avLst/>
                    </a:prstGeom>
                    <a:noFill/>
                  </pic:spPr>
                </pic:pic>
              </a:graphicData>
            </a:graphic>
          </wp:anchor>
        </w:drawing>
      </w:r>
      <w:r>
        <w:br w:type="page"/>
      </w:r>
    </w:p>
    <w:p>
      <w:pPr>
        <w:pStyle w:val="Heading1"/>
        <w:spacing w:lineRule="auto" w:line="480" w:before="0" w:after="120"/>
        <w:ind w:hanging="0"/>
        <w:jc w:val="center"/>
        <w:rPr/>
      </w:pPr>
      <w:r>
        <w:rPr>
          <w:rFonts w:ascii="Times New Roman" w:hAnsi="Times New Roman"/>
          <w:b/>
          <w:i w:val="false"/>
          <w:color w:val="000000"/>
          <w:sz w:val="24"/>
        </w:rPr>
        <w:t>Referencias</w:t>
      </w:r>
    </w:p>
    <w:p>
      <w:pPr>
        <w:pStyle w:val="Normal"/>
        <w:spacing w:lineRule="auto" w:line="480" w:before="80" w:after="120"/>
        <w:ind w:hanging="720" w:start="720"/>
        <w:jc w:val="start"/>
        <w:rPr/>
      </w:pPr>
      <w:r>
        <w:rPr>
          <w:b w:val="false"/>
          <w:i w:val="false"/>
          <w:color w:val="000000"/>
          <w:sz w:val="24"/>
        </w:rPr>
        <w:t>Camacho-Cogollo, J. E., Martínez-Vega, R. A., &amp; Rodríguez-Morales, C. A. (2020). Evaluación del cumplimiento de programas de mantenimiento y calibración en equipamiento biomédico hospitalario. Revista de Ingeniería Clínica y Tecnología Médica, 14(2), 45-58.</w:t>
      </w:r>
    </w:p>
    <w:p>
      <w:pPr>
        <w:pStyle w:val="Normal"/>
        <w:spacing w:lineRule="auto" w:line="480" w:before="80" w:after="120"/>
        <w:ind w:hanging="720" w:start="720"/>
        <w:jc w:val="start"/>
        <w:rPr/>
      </w:pPr>
      <w:r>
        <w:rPr>
          <w:b w:val="false"/>
          <w:i w:val="false"/>
          <w:color w:val="000000"/>
          <w:sz w:val="24"/>
        </w:rPr>
        <w:t>Congreso de la República de Colombia. (2012, 17 de octubre). Ley 1581 de 2012 por la cual se dictan disposiciones generales para la protección de datos personales. Diario Oficial No. 48.583.</w:t>
      </w:r>
    </w:p>
    <w:p>
      <w:pPr>
        <w:pStyle w:val="Normal"/>
        <w:spacing w:lineRule="auto" w:line="480" w:before="80" w:after="120"/>
        <w:ind w:hanging="720" w:start="720"/>
        <w:jc w:val="start"/>
        <w:rPr/>
      </w:pPr>
      <w:r>
        <w:rPr>
          <w:b w:val="false"/>
          <w:i w:val="false"/>
          <w:color w:val="000000"/>
          <w:sz w:val="24"/>
        </w:rPr>
        <w:t>Institute of Electrical and Electronics Engineers. (1998). IEEE recommended practice for software requirements specifications (IEEE Std 830-1998). IEEE Computer Society.</w:t>
      </w:r>
    </w:p>
    <w:p>
      <w:pPr>
        <w:pStyle w:val="Normal"/>
        <w:spacing w:lineRule="auto" w:line="480" w:before="80" w:after="120"/>
        <w:ind w:hanging="720" w:start="720"/>
        <w:jc w:val="start"/>
        <w:rPr/>
      </w:pPr>
      <w:r>
        <w:rPr>
          <w:b w:val="false"/>
          <w:i w:val="false"/>
          <w:color w:val="000000"/>
          <w:sz w:val="24"/>
        </w:rPr>
        <w:t>International Organization for Standardization &amp; International Electrotechnical Commission. (2023). Systems and software engineering — Systems and software quality requirements and evaluation (SQuaRE) — Product quality model (ISO/IEC 25010:2023). ISO.</w:t>
      </w:r>
    </w:p>
    <w:p>
      <w:pPr>
        <w:pStyle w:val="Normal"/>
        <w:spacing w:lineRule="auto" w:line="480" w:before="80" w:after="120"/>
        <w:ind w:hanging="720" w:start="720"/>
        <w:jc w:val="start"/>
        <w:rPr/>
      </w:pPr>
      <w:r>
        <w:rPr>
          <w:b w:val="false"/>
          <w:i w:val="false"/>
          <w:color w:val="000000"/>
          <w:sz w:val="24"/>
        </w:rPr>
        <w:t>ISO/IEC/IEEE. (2018). Systems and software engineering — Life cycle processes — Requirements engineering (ISO/IEC/IEEE 29148:2018). ISO.</w:t>
      </w:r>
    </w:p>
    <w:p>
      <w:pPr>
        <w:pStyle w:val="Normal"/>
        <w:spacing w:lineRule="auto" w:line="480" w:before="80" w:after="120"/>
        <w:ind w:hanging="720" w:start="720"/>
        <w:jc w:val="start"/>
        <w:rPr/>
      </w:pPr>
      <w:r>
        <w:rPr>
          <w:b w:val="false"/>
          <w:i w:val="false"/>
          <w:color w:val="000000"/>
          <w:sz w:val="24"/>
        </w:rPr>
        <w:t>McKinney, W. (2022). Python for data analysis: Data wrangling with pandas, NumPy, and Jupyter (3.ª ed.). O'Reilly Media.</w:t>
      </w:r>
    </w:p>
    <w:p>
      <w:pPr>
        <w:pStyle w:val="Normal"/>
        <w:spacing w:lineRule="auto" w:line="480" w:before="80" w:after="120"/>
        <w:ind w:hanging="720" w:start="720"/>
        <w:jc w:val="start"/>
        <w:rPr/>
      </w:pPr>
      <w:r>
        <w:rPr>
          <w:b w:val="false"/>
          <w:i w:val="false"/>
          <w:color w:val="000000"/>
          <w:sz w:val="24"/>
        </w:rPr>
        <w:t>Ministerio de Salud y Protección Social de Colombia. (2019). Resolución 3100 de 2019: Por la cual se definen los procedimientos y condiciones de inscripción de los prestadores de servicios de salud y de habilitación de los servicios de salud. Bogotá D.C.: Imprenta Nacional.</w:t>
      </w:r>
    </w:p>
    <w:p>
      <w:pPr>
        <w:pStyle w:val="Normal"/>
        <w:spacing w:lineRule="auto" w:line="480" w:before="80" w:after="120"/>
        <w:ind w:hanging="720" w:start="720"/>
        <w:jc w:val="start"/>
        <w:rPr/>
      </w:pPr>
      <w:r>
        <w:rPr>
          <w:b w:val="false"/>
          <w:i w:val="false"/>
          <w:color w:val="000000"/>
          <w:sz w:val="24"/>
        </w:rPr>
        <w:t>MongoDB Inc. (2024). MongoDB documentation: Document data model and flexible schema design. MongoDB Press.</w:t>
      </w:r>
    </w:p>
    <w:p>
      <w:pPr>
        <w:pStyle w:val="Normal"/>
        <w:spacing w:lineRule="auto" w:line="480" w:before="80" w:after="120"/>
        <w:ind w:hanging="720" w:start="720"/>
        <w:jc w:val="start"/>
        <w:rPr/>
      </w:pPr>
      <w:r>
        <w:rPr>
          <w:b w:val="false"/>
          <w:i w:val="false"/>
          <w:color w:val="000000"/>
          <w:sz w:val="24"/>
        </w:rPr>
        <w:t>Orozco, M. A., &amp; Cortés, F. J. (2021). Diagnóstico de la gestión del mantenimiento biomédico en Instituciones Prestadoras de Servicios de Salud de mediano complejidad en Medellín. Revista Latinoamericana de Ingeniería Biomédica, 9(1), 112-127.</w:t>
      </w:r>
    </w:p>
    <w:p>
      <w:pPr>
        <w:pStyle w:val="Normal"/>
        <w:spacing w:lineRule="auto" w:line="480" w:before="80" w:after="120"/>
        <w:ind w:hanging="720" w:start="720"/>
        <w:jc w:val="start"/>
        <w:rPr/>
      </w:pPr>
      <w:r>
        <w:rPr>
          <w:b w:val="false"/>
          <w:i w:val="false"/>
          <w:color w:val="000000"/>
          <w:sz w:val="24"/>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pStyle w:val="Normal"/>
        <w:spacing w:lineRule="auto" w:line="480" w:before="80" w:after="120"/>
        <w:ind w:hanging="720" w:start="720"/>
        <w:jc w:val="start"/>
        <w:rPr/>
      </w:pPr>
      <w:r>
        <w:rPr>
          <w:b w:val="false"/>
          <w:i w:val="false"/>
          <w:color w:val="000000"/>
          <w:sz w:val="24"/>
        </w:rPr>
        <w:t>Project Management Institute. (2021). Guía de los fundamentos para la dirección de proyectos (Guía del PMBOK) (7.ª ed.). Project Management Institute, Inc.</w:t>
      </w:r>
    </w:p>
    <w:p>
      <w:pPr>
        <w:pStyle w:val="Normal"/>
        <w:spacing w:lineRule="auto" w:line="480" w:before="80" w:after="120"/>
        <w:ind w:hanging="720" w:start="720"/>
        <w:jc w:val="start"/>
        <w:rPr/>
      </w:pPr>
      <w:r>
        <w:rPr>
          <w:b w:val="false"/>
          <w:i w:val="false"/>
          <w:color w:val="000000"/>
          <w:sz w:val="24"/>
        </w:rPr>
        <w:t>Servicio Nacional de Aprendizaje - SENA. (2024). Guía para la especificación de arquitectura, datos y diseño técnico en el programa ADSO (Código ADSO-ARQ-01). Regional Antioquia, Centro de la Tecnología y Manufactura Avanzada (CTMA).</w:t>
      </w:r>
    </w:p>
    <w:p>
      <w:pPr>
        <w:pStyle w:val="Normal"/>
        <w:spacing w:lineRule="auto" w:line="480" w:before="80" w:after="120"/>
        <w:ind w:hanging="720" w:start="720"/>
        <w:jc w:val="start"/>
        <w:rPr/>
      </w:pPr>
      <w:r>
        <w:rPr>
          <w:b w:val="false"/>
          <w:i w:val="false"/>
          <w:color w:val="000000"/>
          <w:sz w:val="24"/>
        </w:rPr>
        <w:t>Software Engineering Institute. (2017). CMMI for development (Version 2.0). Carnegie Mellon University.</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pPr>
      <w:suppressLineNumbers/>
    </w:pPr>
    <w:rPr>
      <w:rFonts w:cs="Lucida Sans"/>
    </w:rPr>
  </w:style>
  <w:style w:type="paragraph" w:styleId="Cabeceraypie">
    <w:name w:val="Cabecera y pie"/>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LibreOffice/26.8.1.1$Windows_X86_64 LibreOffice_project/bf6ef2662401c7d6dce671ab4deb26ee0af3a7c1</Application>
  <AppVersion>15.0000</AppVersion>
  <Pages>32</Pages>
  <Words>5317</Words>
  <Characters>32280</Characters>
  <CharactersWithSpaces>36755</CharactersWithSpaces>
  <Paragraphs>846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es-CO</dc:language>
  <cp:lastModifiedBy/>
  <dcterms:modified xsi:type="dcterms:W3CDTF">2026-10-19T07:51:51Z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