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Dproperty OS &amp; Network — Business Plan</w:t>
      </w:r>
    </w:p>
    <w:p>
      <w:r>
        <w:rPr>
          <w:color w:val="505050"/>
          <w:sz w:val="22"/>
        </w:rPr>
        <w:t>Prepared as a structured internal venture proposal for Dproperty.</w:t>
      </w:r>
    </w:p>
    <w:p/>
    <w:p>
      <w:pPr>
        <w:pStyle w:val="Heading1"/>
      </w:pPr>
      <w:r>
        <w:t>1. Executive summary</w:t>
      </w:r>
    </w:p>
    <w:p>
      <w:r>
        <w:t>Dproperty OS &amp; Network is a proposed internal venture that converts Dproperty’s boutique real estate know-how into a scalable operating platform. The venture will serve three customer types: branded franchise operators, white-label boutique agencies, and developers needing professional sales infrastructure.</w:t>
      </w:r>
    </w:p>
    <w:p>
      <w:r>
        <w:t>The central thesis is that boutique real estate players do not want to become mass-market chains, but they need institutional-grade operations: controlled documents, broker agreements, sales process, projection tools, training, dashboards, compliance, and project intelligence.</w:t>
      </w:r>
    </w:p>
    <w:p>
      <w:r>
        <w:t>The proposed five-year target is deliberately conservative: five branded franchises, twenty white-label agencies, and fifteen developer partnerships/projects. Under this scenario, revenue reaches approximately **$2.32M** in Year 5 with **$635k EBITDA**.</w:t>
      </w:r>
    </w:p>
    <w:p>
      <w:pPr>
        <w:pStyle w:val="Heading1"/>
      </w:pPr>
      <w:r>
        <w:t>2. Company structure</w:t>
      </w:r>
    </w:p>
    <w:p>
      <w:r>
        <w:t>The recommended structure is a NewCo: **Dproperty OS &amp; Network**.</w:t>
      </w:r>
    </w:p>
    <w:p>
      <w:pPr>
        <w:pStyle w:val="Heading2"/>
      </w:pPr>
      <w:r>
        <w:t>What NewCo owns</w:t>
      </w:r>
    </w:p>
    <w:p>
      <w:pPr>
        <w:pStyle w:val="ListBullet"/>
      </w:pPr>
      <w:r>
        <w:t>Software platform and workflows.</w:t>
      </w:r>
    </w:p>
    <w:p>
      <w:pPr>
        <w:pStyle w:val="ListBullet"/>
      </w:pPr>
      <w:r>
        <w:t>Training academy and certification logic.</w:t>
      </w:r>
    </w:p>
    <w:p>
      <w:pPr>
        <w:pStyle w:val="ListBullet"/>
      </w:pPr>
      <w:r>
        <w:t>Franchise operating manuals.</w:t>
      </w:r>
    </w:p>
    <w:p>
      <w:pPr>
        <w:pStyle w:val="ListBullet"/>
      </w:pPr>
      <w:r>
        <w:t>White-label product.</w:t>
      </w:r>
    </w:p>
    <w:p>
      <w:pPr>
        <w:pStyle w:val="ListBullet"/>
      </w:pPr>
      <w:r>
        <w:t>Developer Sales OS.</w:t>
      </w:r>
    </w:p>
    <w:p>
      <w:pPr>
        <w:pStyle w:val="ListBullet"/>
      </w:pPr>
      <w:r>
        <w:t>Projection methodology.</w:t>
      </w:r>
    </w:p>
    <w:p>
      <w:pPr>
        <w:pStyle w:val="ListBullet"/>
      </w:pPr>
      <w:r>
        <w:t>Document-template automation and clause logic created for the venture.</w:t>
      </w:r>
    </w:p>
    <w:p>
      <w:pPr>
        <w:pStyle w:val="ListBullet"/>
      </w:pPr>
      <w:r>
        <w:t>HQ dashboards and compliance system.</w:t>
      </w:r>
    </w:p>
    <w:p>
      <w:pPr>
        <w:pStyle w:val="Heading2"/>
      </w:pPr>
      <w:r>
        <w:t>Relationship with existing Dproperty</w:t>
      </w:r>
    </w:p>
    <w:p>
      <w:r>
        <w:t>The existing Dproperty business contributes brand credibility, current operating knowledge, market relationships, project access, and Panama Private Collection inventory. The NewCo should license/use those assets through a clear internal agreement.</w:t>
      </w:r>
    </w:p>
    <w:p>
      <w:pPr>
        <w:pStyle w:val="Heading2"/>
      </w:pPr>
      <w:r>
        <w:t>Proposed ownership model</w:t>
      </w:r>
    </w:p>
    <w:tbl>
      <w:tblPr>
        <w:tblStyle w:val="TableGrid"/>
        <w:tblW w:type="auto" w:w="0"/>
        <w:jc w:val="center"/>
        <w:tblLook w:firstColumn="1" w:firstRow="1" w:lastColumn="0" w:lastRow="0" w:noHBand="0" w:noVBand="1" w:val="04A0"/>
      </w:tblPr>
      <w:tblGrid>
        <w:gridCol w:w="5112"/>
        <w:gridCol w:w="5112"/>
      </w:tblGrid>
      <w:tr>
        <w:tc>
          <w:tcPr>
            <w:tcW w:type="dxa" w:w="5112"/>
            <w:shd w:fill="0F2437"/>
          </w:tcPr>
          <w:p>
            <w:r>
              <w:rPr>
                <w:b/>
                <w:color w:val="FFFFFF"/>
                <w:sz w:val="17"/>
              </w:rPr>
              <w:t>Stakeholder</w:t>
            </w:r>
          </w:p>
        </w:tc>
        <w:tc>
          <w:tcPr>
            <w:tcW w:type="dxa" w:w="5112"/>
            <w:shd w:fill="0F2437"/>
          </w:tcPr>
          <w:p>
            <w:r>
              <w:rPr>
                <w:b/>
                <w:color w:val="FFFFFF"/>
                <w:sz w:val="17"/>
              </w:rPr>
              <w:t>Suggested ownership</w:t>
            </w:r>
          </w:p>
        </w:tc>
      </w:tr>
      <w:tr>
        <w:tc>
          <w:tcPr>
            <w:tcW w:type="dxa" w:w="5112"/>
            <w:vAlign w:val="top"/>
          </w:tcPr>
          <w:p>
            <w:r>
              <w:rPr>
                <w:sz w:val="17"/>
              </w:rPr>
              <w:t>Existing Dproperty Owner 1</w:t>
            </w:r>
          </w:p>
        </w:tc>
        <w:tc>
          <w:tcPr>
            <w:tcW w:type="dxa" w:w="5112"/>
            <w:vAlign w:val="top"/>
          </w:tcPr>
          <w:p>
            <w:r>
              <w:rPr>
                <w:sz w:val="17"/>
              </w:rPr>
              <w:t>40%</w:t>
            </w:r>
          </w:p>
        </w:tc>
      </w:tr>
      <w:tr>
        <w:tc>
          <w:tcPr>
            <w:tcW w:type="dxa" w:w="5112"/>
            <w:vAlign w:val="top"/>
          </w:tcPr>
          <w:p>
            <w:r>
              <w:rPr>
                <w:sz w:val="17"/>
              </w:rPr>
              <w:t>Existing Dproperty Owner 2</w:t>
            </w:r>
          </w:p>
        </w:tc>
        <w:tc>
          <w:tcPr>
            <w:tcW w:type="dxa" w:w="5112"/>
            <w:vAlign w:val="top"/>
          </w:tcPr>
          <w:p>
            <w:r>
              <w:rPr>
                <w:sz w:val="17"/>
              </w:rPr>
              <w:t>40%</w:t>
            </w:r>
          </w:p>
        </w:tc>
      </w:tr>
      <w:tr>
        <w:tc>
          <w:tcPr>
            <w:tcW w:type="dxa" w:w="5112"/>
            <w:vAlign w:val="top"/>
          </w:tcPr>
          <w:p>
            <w:r>
              <w:rPr>
                <w:sz w:val="17"/>
              </w:rPr>
              <w:t>Venture/Product Lead</w:t>
            </w:r>
          </w:p>
        </w:tc>
        <w:tc>
          <w:tcPr>
            <w:tcW w:type="dxa" w:w="5112"/>
            <w:vAlign w:val="top"/>
          </w:tcPr>
          <w:p>
            <w:r>
              <w:rPr>
                <w:sz w:val="17"/>
              </w:rPr>
              <w:t>15% vesting</w:t>
            </w:r>
          </w:p>
        </w:tc>
      </w:tr>
      <w:tr>
        <w:tc>
          <w:tcPr>
            <w:tcW w:type="dxa" w:w="5112"/>
            <w:vAlign w:val="top"/>
          </w:tcPr>
          <w:p>
            <w:r>
              <w:rPr>
                <w:sz w:val="17"/>
              </w:rPr>
              <w:t>Future option pool / key hires</w:t>
            </w:r>
          </w:p>
        </w:tc>
        <w:tc>
          <w:tcPr>
            <w:tcW w:type="dxa" w:w="5112"/>
            <w:vAlign w:val="top"/>
          </w:tcPr>
          <w:p>
            <w:r>
              <w:rPr>
                <w:sz w:val="17"/>
              </w:rPr>
              <w:t>5%</w:t>
            </w:r>
          </w:p>
        </w:tc>
      </w:tr>
    </w:tbl>
    <w:p/>
    <w:p>
      <w:r>
        <w:t>Alternative: 10% vesting equity for the venture lead plus 5% milestone-based equity.</w:t>
      </w:r>
    </w:p>
    <w:p>
      <w:pPr>
        <w:pStyle w:val="Heading1"/>
      </w:pPr>
      <w:r>
        <w:t>3. Problem statement</w:t>
      </w:r>
    </w:p>
    <w:p>
      <w:pPr>
        <w:pStyle w:val="Heading2"/>
      </w:pPr>
      <w:r>
        <w:t>For boutique agencies</w:t>
      </w:r>
    </w:p>
    <w:p>
      <w:r>
        <w:t>Boutique agencies often win because they feel premium, personal, and trusted. Internally, however, many still rely on WhatsApp, Excel, email attachments, manual projections, copied contracts, and scattered project files. They need systems without losing their boutique identity.</w:t>
      </w:r>
    </w:p>
    <w:p>
      <w:pPr>
        <w:pStyle w:val="Heading2"/>
      </w:pPr>
      <w:r>
        <w:t>For franchise operators</w:t>
      </w:r>
    </w:p>
    <w:p>
      <w:r>
        <w:t>Buying a brand is not enough. A franchisee needs a working business machine: sales process, documentation, project access, broker system, training, dashboards, and compliance. Without this, the franchisee must recreate the operating infrastructure alone.</w:t>
      </w:r>
    </w:p>
    <w:p>
      <w:pPr>
        <w:pStyle w:val="Heading2"/>
      </w:pPr>
      <w:r>
        <w:t>For developers</w:t>
      </w:r>
    </w:p>
    <w:p>
      <w:r>
        <w:t>Developers are often strong at building projects but weaker at selling them systematically. They need trained sales teams, broker coordination, CRM discipline, pipeline visibility, follow-up automation, and investor-grade presentation tools.</w:t>
      </w:r>
    </w:p>
    <w:p>
      <w:pPr>
        <w:pStyle w:val="Heading1"/>
      </w:pPr>
      <w:r>
        <w:t>4. Solution</w:t>
      </w:r>
    </w:p>
    <w:p>
      <w:r>
        <w:t>Dproperty OS is a real-estate-specific operating platform that includes:</w:t>
      </w:r>
    </w:p>
    <w:p>
      <w:pPr>
        <w:pStyle w:val="ListBullet"/>
      </w:pPr>
      <w:r>
        <w:t>Client, broker, developer, project, unit, and deal databases.</w:t>
      </w:r>
    </w:p>
    <w:p>
      <w:pPr>
        <w:pStyle w:val="ListBullet"/>
      </w:pPr>
      <w:r>
        <w:t>Document generation for NDAs, broker agreements, client agreements, reservation summaries, and internal approvals.</w:t>
      </w:r>
    </w:p>
    <w:p>
      <w:pPr>
        <w:pStyle w:val="ListBullet"/>
      </w:pPr>
      <w:r>
        <w:t>Investment projection engine.</w:t>
      </w:r>
    </w:p>
    <w:p>
      <w:pPr>
        <w:pStyle w:val="ListBullet"/>
      </w:pPr>
      <w:r>
        <w:t>Franchise/white-label dashboards.</w:t>
      </w:r>
    </w:p>
    <w:p>
      <w:pPr>
        <w:pStyle w:val="ListBullet"/>
      </w:pPr>
      <w:r>
        <w:t>Developer project sales dashboards.</w:t>
      </w:r>
    </w:p>
    <w:p>
      <w:pPr>
        <w:pStyle w:val="ListBullet"/>
      </w:pPr>
      <w:r>
        <w:t>Training academy and certifications.</w:t>
      </w:r>
    </w:p>
    <w:p>
      <w:pPr>
        <w:pStyle w:val="ListBullet"/>
      </w:pPr>
      <w:r>
        <w:t>Broker network module.</w:t>
      </w:r>
    </w:p>
    <w:p>
      <w:pPr>
        <w:pStyle w:val="ListBullet"/>
      </w:pPr>
      <w:r>
        <w:t>Private Collection inventory controls.</w:t>
      </w:r>
    </w:p>
    <w:p>
      <w:pPr>
        <w:pStyle w:val="ListBullet"/>
      </w:pPr>
      <w:r>
        <w:t>HQ governance and compliance monitoring.</w:t>
      </w:r>
    </w:p>
    <w:p>
      <w:pPr>
        <w:pStyle w:val="ListBullet"/>
      </w:pPr>
      <w:r>
        <w:t>Optional GoHighLevel integration for marketing, CRM, and lead communication.</w:t>
      </w:r>
    </w:p>
    <w:p>
      <w:pPr>
        <w:pStyle w:val="Heading1"/>
      </w:pPr>
      <w:r>
        <w:t>5. Product lines</w:t>
      </w:r>
    </w:p>
    <w:p>
      <w:pPr>
        <w:pStyle w:val="Heading2"/>
      </w:pPr>
      <w:r>
        <w:t>5.1 Dproperty-branded franchise</w:t>
      </w:r>
    </w:p>
    <w:p>
      <w:r>
        <w:t>The franchisee operates under Dproperty. They receive the brand, OS, training, standards, project access, and Private Collection participation.</w:t>
      </w:r>
    </w:p>
    <w:p>
      <w:r>
        <w:t>Pricing:</w:t>
      </w:r>
    </w:p>
    <w:p>
      <w:pPr>
        <w:pStyle w:val="ListBullet"/>
      </w:pPr>
      <w:r>
        <w:t>$15,000 launch fee.</w:t>
      </w:r>
    </w:p>
    <w:p>
      <w:pPr>
        <w:pStyle w:val="ListBullet"/>
      </w:pPr>
      <w:r>
        <w:t>$1,000/month OS fee.</w:t>
      </w:r>
    </w:p>
    <w:p>
      <w:pPr>
        <w:pStyle w:val="ListBullet"/>
      </w:pPr>
      <w:r>
        <w:t>6% royalty on local gross commission income.</w:t>
      </w:r>
    </w:p>
    <w:p>
      <w:pPr>
        <w:pStyle w:val="ListBullet"/>
      </w:pPr>
      <w:r>
        <w:t>1.5% brand/network fee.</w:t>
      </w:r>
    </w:p>
    <w:p>
      <w:pPr>
        <w:pStyle w:val="ListBullet"/>
      </w:pPr>
      <w:r>
        <w:t>GoHighLevel at cost.</w:t>
      </w:r>
    </w:p>
    <w:p>
      <w:pPr>
        <w:pStyle w:val="ListBullet"/>
      </w:pPr>
      <w:r>
        <w:t>Private Collection: 50/50 commission split between HQ and franchise, plus 3% royalty and 1% network fee on the franchise half.</w:t>
      </w:r>
    </w:p>
    <w:p>
      <w:pPr>
        <w:pStyle w:val="Heading2"/>
      </w:pPr>
      <w:r>
        <w:t>5.2 White-label OS</w:t>
      </w:r>
    </w:p>
    <w:p>
      <w:r>
        <w:t>Boutique agencies keep their own brand but run on Dproperty’s operating system.</w:t>
      </w:r>
    </w:p>
    <w:p>
      <w:r>
        <w:t>Pricing:</w:t>
      </w:r>
    </w:p>
    <w:p>
      <w:pPr>
        <w:pStyle w:val="ListBullet"/>
      </w:pPr>
      <w:r>
        <w:t>Starter: $10,000 setup + $1,500/month.</w:t>
      </w:r>
    </w:p>
    <w:p>
      <w:pPr>
        <w:pStyle w:val="ListBullet"/>
      </w:pPr>
      <w:r>
        <w:t>Growth: $20,000 setup + $2,500/month.</w:t>
      </w:r>
    </w:p>
    <w:p>
      <w:pPr>
        <w:pStyle w:val="ListBullet"/>
      </w:pPr>
      <w:r>
        <w:t>Enterprise: $50,000+ setup + $5,000+/month.</w:t>
      </w:r>
    </w:p>
    <w:p>
      <w:pPr>
        <w:pStyle w:val="Heading2"/>
      </w:pPr>
      <w:r>
        <w:t>5.3 Developer Sales OS</w:t>
      </w:r>
    </w:p>
    <w:p>
      <w:r>
        <w:t>Developers use Dproperty to train, structure, manage, and monitor project sales.</w:t>
      </w:r>
    </w:p>
    <w:p>
      <w:r>
        <w:t>Pricing:</w:t>
      </w:r>
    </w:p>
    <w:p>
      <w:pPr>
        <w:pStyle w:val="ListBullet"/>
      </w:pPr>
      <w:r>
        <w:t>Developer-team sales: 0.5% of gross sale value.</w:t>
      </w:r>
    </w:p>
    <w:p>
      <w:pPr>
        <w:pStyle w:val="ListBullet"/>
      </w:pPr>
      <w:r>
        <w:t>Dproperty/network sales: 2.5%–3% of gross sale value.</w:t>
      </w:r>
    </w:p>
    <w:p>
      <w:pPr>
        <w:pStyle w:val="ListBullet"/>
      </w:pPr>
      <w:r>
        <w:t>Managed Sales Desk: $3,000–$5,000/month minimum, creditable against success fees.</w:t>
      </w:r>
    </w:p>
    <w:p>
      <w:pPr>
        <w:pStyle w:val="Heading1"/>
      </w:pPr>
      <w:r>
        <w:t>6. Dproperty Private Collection</w:t>
      </w:r>
    </w:p>
    <w:p>
      <w:r>
        <w:t>Dproperty Private Collection is a controlled HQ-managed portfolio of premium, investor-ready projects. It preserves Dproperty’s existing Panama business and ensures that high-end investor opportunities are handled by senior HQ managers.</w:t>
      </w:r>
    </w:p>
    <w:p>
      <w:r>
        <w:t>Rule:</w:t>
      </w:r>
    </w:p>
    <w:p>
      <w:pPr>
        <w:pStyle w:val="ListBullet"/>
      </w:pPr>
      <w:r>
        <w:t>Local franchise inventory: franchise keeps commission and pays royalty/network fee.</w:t>
      </w:r>
    </w:p>
    <w:p>
      <w:pPr>
        <w:pStyle w:val="ListBullet"/>
      </w:pPr>
      <w:r>
        <w:t>Private Collection inventory: HQ and franchise split gross commission 50/50, with HQ maintaining quality control.</w:t>
      </w:r>
    </w:p>
    <w:p>
      <w:pPr>
        <w:pStyle w:val="Heading1"/>
      </w:pPr>
      <w:r>
        <w:t>7. Market sizing</w:t>
      </w:r>
    </w:p>
    <w:p>
      <w:pPr>
        <w:pStyle w:val="Heading2"/>
      </w:pPr>
      <w:r>
        <w:t>TAM</w:t>
      </w:r>
    </w:p>
    <w:p>
      <w:r>
        <w:t>The global real estate software market is estimated at USD 15.60B in 2026 and projected to reach USD 39.49B by 2033. The broader PropTech market is projected to grow from USD 44.59B in 2026 to USD 104.57B by 2034.</w:t>
      </w:r>
    </w:p>
    <w:p>
      <w:pPr>
        <w:pStyle w:val="Heading2"/>
      </w:pPr>
      <w:r>
        <w:t>SAM</w:t>
      </w:r>
    </w:p>
    <w:p>
      <w:r>
        <w:t>The first serviceable market is boutique real estate agencies, investor-focused brokerages, and developers in Panama, Colombia, Miami/South Florida, Spain, Mexico, the Dominican Republic, and selected LatAm markets. Latin America residential real estate is estimated at USD 256.23B in 2026, reaching USD 333.37B by 2031.</w:t>
      </w:r>
    </w:p>
    <w:p>
      <w:pPr>
        <w:pStyle w:val="Heading2"/>
      </w:pPr>
      <w:r>
        <w:t>SOM</w:t>
      </w:r>
    </w:p>
    <w:p>
      <w:r>
        <w:t>The conservative five-year obtainable market is:</w:t>
      </w:r>
    </w:p>
    <w:p>
      <w:pPr>
        <w:pStyle w:val="ListBullet"/>
      </w:pPr>
      <w:r>
        <w:t>5 branded franchises.</w:t>
      </w:r>
    </w:p>
    <w:p>
      <w:pPr>
        <w:pStyle w:val="ListBullet"/>
      </w:pPr>
      <w:r>
        <w:t>20 white-label agencies.</w:t>
      </w:r>
    </w:p>
    <w:p>
      <w:pPr>
        <w:pStyle w:val="ListBullet"/>
      </w:pPr>
      <w:r>
        <w:t>15 developer partnerships/projects.</w:t>
      </w:r>
    </w:p>
    <w:p>
      <w:r>
        <w:t>This translates to Year 5 revenue of approximately $2.32M.</w:t>
      </w:r>
    </w:p>
    <w:p>
      <w:pPr>
        <w:pStyle w:val="Heading1"/>
      </w:pPr>
      <w:r>
        <w:t>8. Competition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2437"/>
          </w:tcPr>
          <w:p>
            <w:r>
              <w:rPr>
                <w:b/>
                <w:color w:val="FFFFFF"/>
                <w:sz w:val="17"/>
              </w:rPr>
              <w:t>Competitor type</w:t>
            </w:r>
          </w:p>
        </w:tc>
        <w:tc>
          <w:tcPr>
            <w:tcW w:type="dxa" w:w="3408"/>
            <w:shd w:fill="0F2437"/>
          </w:tcPr>
          <w:p>
            <w:r>
              <w:rPr>
                <w:b/>
                <w:color w:val="FFFFFF"/>
                <w:sz w:val="17"/>
              </w:rPr>
              <w:t>Examples</w:t>
            </w:r>
          </w:p>
        </w:tc>
        <w:tc>
          <w:tcPr>
            <w:tcW w:type="dxa" w:w="3408"/>
            <w:shd w:fill="0F2437"/>
          </w:tcPr>
          <w:p>
            <w:r>
              <w:rPr>
                <w:b/>
                <w:color w:val="FFFFFF"/>
                <w:sz w:val="17"/>
              </w:rPr>
              <w:t>Dproperty differentiation</w:t>
            </w:r>
          </w:p>
        </w:tc>
      </w:tr>
      <w:tr>
        <w:tc>
          <w:tcPr>
            <w:tcW w:type="dxa" w:w="3408"/>
            <w:vAlign w:val="top"/>
          </w:tcPr>
          <w:p>
            <w:r>
              <w:rPr>
                <w:sz w:val="17"/>
              </w:rPr>
              <w:t>Real estate franchises</w:t>
            </w:r>
          </w:p>
        </w:tc>
        <w:tc>
          <w:tcPr>
            <w:tcW w:type="dxa" w:w="3408"/>
            <w:vAlign w:val="top"/>
          </w:tcPr>
          <w:p>
            <w:r>
              <w:rPr>
                <w:sz w:val="17"/>
              </w:rPr>
              <w:t>Engel &amp; Völkers, RE/MAX, Keller Williams</w:t>
            </w:r>
          </w:p>
        </w:tc>
        <w:tc>
          <w:tcPr>
            <w:tcW w:type="dxa" w:w="3408"/>
            <w:vAlign w:val="top"/>
          </w:tcPr>
          <w:p>
            <w:r>
              <w:rPr>
                <w:sz w:val="17"/>
              </w:rPr>
              <w:t>Dproperty is boutique-first and can also white-label the system.</w:t>
            </w:r>
          </w:p>
        </w:tc>
      </w:tr>
      <w:tr>
        <w:tc>
          <w:tcPr>
            <w:tcW w:type="dxa" w:w="3408"/>
            <w:vAlign w:val="top"/>
          </w:tcPr>
          <w:p>
            <w:r>
              <w:rPr>
                <w:sz w:val="17"/>
              </w:rPr>
              <w:t>CRMs/marketing platforms</w:t>
            </w:r>
          </w:p>
        </w:tc>
        <w:tc>
          <w:tcPr>
            <w:tcW w:type="dxa" w:w="3408"/>
            <w:vAlign w:val="top"/>
          </w:tcPr>
          <w:p>
            <w:r>
              <w:rPr>
                <w:sz w:val="17"/>
              </w:rPr>
              <w:t>GoHighLevel, Follow Up Boss, BoomTown, Propertybase</w:t>
            </w:r>
          </w:p>
        </w:tc>
        <w:tc>
          <w:tcPr>
            <w:tcW w:type="dxa" w:w="3408"/>
            <w:vAlign w:val="top"/>
          </w:tcPr>
          <w:p>
            <w:r>
              <w:rPr>
                <w:sz w:val="17"/>
              </w:rPr>
              <w:t>These manage leads; Dproperty OS manages real estate execution, documents, projections, governance, and developer sales.</w:t>
            </w:r>
          </w:p>
        </w:tc>
      </w:tr>
      <w:tr>
        <w:tc>
          <w:tcPr>
            <w:tcW w:type="dxa" w:w="3408"/>
            <w:vAlign w:val="top"/>
          </w:tcPr>
          <w:p>
            <w:r>
              <w:rPr>
                <w:sz w:val="17"/>
              </w:rPr>
              <w:t>Contract/document tools</w:t>
            </w:r>
          </w:p>
        </w:tc>
        <w:tc>
          <w:tcPr>
            <w:tcW w:type="dxa" w:w="3408"/>
            <w:vAlign w:val="top"/>
          </w:tcPr>
          <w:p>
            <w:r>
              <w:rPr>
                <w:sz w:val="17"/>
              </w:rPr>
              <w:t>DocuSign CLM, Adobe Sign, contract platforms</w:t>
            </w:r>
          </w:p>
        </w:tc>
        <w:tc>
          <w:tcPr>
            <w:tcW w:type="dxa" w:w="3408"/>
            <w:vAlign w:val="top"/>
          </w:tcPr>
          <w:p>
            <w:r>
              <w:rPr>
                <w:sz w:val="17"/>
              </w:rPr>
              <w:t>These automate contracts; Dproperty embeds contracts into the real estate operating method.</w:t>
            </w:r>
          </w:p>
        </w:tc>
      </w:tr>
      <w:tr>
        <w:tc>
          <w:tcPr>
            <w:tcW w:type="dxa" w:w="3408"/>
            <w:vAlign w:val="top"/>
          </w:tcPr>
          <w:p>
            <w:r>
              <w:rPr>
                <w:sz w:val="17"/>
              </w:rPr>
              <w:t>Local developer sales teams</w:t>
            </w:r>
          </w:p>
        </w:tc>
        <w:tc>
          <w:tcPr>
            <w:tcW w:type="dxa" w:w="3408"/>
            <w:vAlign w:val="top"/>
          </w:tcPr>
          <w:p>
            <w:r>
              <w:rPr>
                <w:sz w:val="17"/>
              </w:rPr>
              <w:t>Internal teams and project brokers</w:t>
            </w:r>
          </w:p>
        </w:tc>
        <w:tc>
          <w:tcPr>
            <w:tcW w:type="dxa" w:w="3408"/>
            <w:vAlign w:val="top"/>
          </w:tcPr>
          <w:p>
            <w:r>
              <w:rPr>
                <w:sz w:val="17"/>
              </w:rPr>
              <w:t>Dproperty adds process, training, broker network, dashboards, and quality control.</w:t>
            </w:r>
          </w:p>
        </w:tc>
      </w:tr>
      <w:tr>
        <w:tc>
          <w:tcPr>
            <w:tcW w:type="dxa" w:w="3408"/>
            <w:vAlign w:val="top"/>
          </w:tcPr>
          <w:p>
            <w:r>
              <w:rPr>
                <w:sz w:val="17"/>
              </w:rPr>
              <w:t>DIY systems</w:t>
            </w:r>
          </w:p>
        </w:tc>
        <w:tc>
          <w:tcPr>
            <w:tcW w:type="dxa" w:w="3408"/>
            <w:vAlign w:val="top"/>
          </w:tcPr>
          <w:p>
            <w:r>
              <w:rPr>
                <w:sz w:val="17"/>
              </w:rPr>
              <w:t>Excel, WhatsApp, Google Drive, SharePoint</w:t>
            </w:r>
          </w:p>
        </w:tc>
        <w:tc>
          <w:tcPr>
            <w:tcW w:type="dxa" w:w="3408"/>
            <w:vAlign w:val="top"/>
          </w:tcPr>
          <w:p>
            <w:r>
              <w:rPr>
                <w:sz w:val="17"/>
              </w:rPr>
              <w:t>Cheaper initially but do not scale and create operational/legal risk.</w:t>
            </w:r>
          </w:p>
        </w:tc>
      </w:tr>
    </w:tbl>
    <w:p/>
    <w:p>
      <w:pPr>
        <w:pStyle w:val="Heading1"/>
      </w:pPr>
      <w:r>
        <w:t>9. Moat</w:t>
      </w:r>
    </w:p>
    <w:p>
      <w:r>
        <w:t>Dproperty’s moat is the combination of:</w:t>
      </w:r>
    </w:p>
    <w:p>
      <w:pPr>
        <w:pStyle w:val="ListBullet"/>
      </w:pPr>
      <w:r>
        <w:t>Boutique brand and trust.</w:t>
      </w:r>
    </w:p>
    <w:p>
      <w:pPr>
        <w:pStyle w:val="ListBullet"/>
      </w:pPr>
      <w:r>
        <w:t>Existing Panama operating model.</w:t>
      </w:r>
    </w:p>
    <w:p>
      <w:pPr>
        <w:pStyle w:val="ListBullet"/>
      </w:pPr>
      <w:r>
        <w:t>Private Collection inventory.</w:t>
      </w:r>
    </w:p>
    <w:p>
      <w:pPr>
        <w:pStyle w:val="ListBullet"/>
      </w:pPr>
      <w:r>
        <w:t>Developer relationships.</w:t>
      </w:r>
    </w:p>
    <w:p>
      <w:pPr>
        <w:pStyle w:val="ListBullet"/>
      </w:pPr>
      <w:r>
        <w:t>Broker network.</w:t>
      </w:r>
    </w:p>
    <w:p>
      <w:pPr>
        <w:pStyle w:val="ListBullet"/>
      </w:pPr>
      <w:r>
        <w:t>Approved documents and templates.</w:t>
      </w:r>
    </w:p>
    <w:p>
      <w:pPr>
        <w:pStyle w:val="ListBullet"/>
      </w:pPr>
      <w:r>
        <w:t>Projection methodology.</w:t>
      </w:r>
    </w:p>
    <w:p>
      <w:pPr>
        <w:pStyle w:val="ListBullet"/>
      </w:pPr>
      <w:r>
        <w:t>Training academy.</w:t>
      </w:r>
    </w:p>
    <w:p>
      <w:pPr>
        <w:pStyle w:val="ListBullet"/>
      </w:pPr>
      <w:r>
        <w:t>Franchise/white-label operating manuals.</w:t>
      </w:r>
    </w:p>
    <w:p>
      <w:pPr>
        <w:pStyle w:val="ListBullet"/>
      </w:pPr>
      <w:r>
        <w:t>Data from real transactions.</w:t>
      </w:r>
    </w:p>
    <w:p>
      <w:pPr>
        <w:pStyle w:val="ListBullet"/>
      </w:pPr>
      <w:r>
        <w:t>Cross-franchise and developer network effects.</w:t>
      </w:r>
    </w:p>
    <w:p>
      <w:pPr>
        <w:pStyle w:val="Heading1"/>
      </w:pPr>
      <w:r>
        <w:t>10. Go-to-market strategy</w:t>
      </w:r>
    </w:p>
    <w:p>
      <w:pPr>
        <w:pStyle w:val="Heading2"/>
      </w:pPr>
      <w:r>
        <w:t>Phase 1 — Internal proof</w:t>
      </w:r>
    </w:p>
    <w:p>
      <w:r>
        <w:t>Build and run Dproperty’s current business through the OS.</w:t>
      </w:r>
    </w:p>
    <w:p>
      <w:pPr>
        <w:pStyle w:val="Heading2"/>
      </w:pPr>
      <w:r>
        <w:t>Phase 2 — Pilot customers</w:t>
      </w:r>
    </w:p>
    <w:p>
      <w:r>
        <w:t>Launch with:</w:t>
      </w:r>
    </w:p>
    <w:p>
      <w:pPr>
        <w:pStyle w:val="ListBullet"/>
      </w:pPr>
      <w:r>
        <w:t>2 white-label agencies.</w:t>
      </w:r>
    </w:p>
    <w:p>
      <w:pPr>
        <w:pStyle w:val="ListBullet"/>
      </w:pPr>
      <w:r>
        <w:t>1 developer project.</w:t>
      </w:r>
    </w:p>
    <w:p>
      <w:pPr>
        <w:pStyle w:val="ListBullet"/>
      </w:pPr>
      <w:r>
        <w:t>1 branded franchise candidate.</w:t>
      </w:r>
    </w:p>
    <w:p>
      <w:pPr>
        <w:pStyle w:val="Heading2"/>
      </w:pPr>
      <w:r>
        <w:t>Phase 3 — Regional expansion</w:t>
      </w:r>
    </w:p>
    <w:p>
      <w:r>
        <w:t>Focus on Panama, Colombia, Dominican Republic, Mexico, Miami, and Spain through warm networks and developer/broker referrals.</w:t>
      </w:r>
    </w:p>
    <w:p>
      <w:pPr>
        <w:pStyle w:val="Heading2"/>
      </w:pPr>
      <w:r>
        <w:t>Phase 4 — Platform/network effects</w:t>
      </w:r>
    </w:p>
    <w:p>
      <w:r>
        <w:t>Create inter-franchise referrals, shared developer inventory, Private Collection expansion, and benchmark dashboards.</w:t>
      </w:r>
    </w:p>
    <w:p>
      <w:pPr>
        <w:pStyle w:val="Heading1"/>
      </w:pPr>
      <w:r>
        <w:t>11. Operating model and governance</w:t>
      </w:r>
    </w:p>
    <w:p>
      <w:pPr>
        <w:pStyle w:val="Heading2"/>
      </w:pPr>
      <w:r>
        <w:t>HQ roles</w:t>
      </w:r>
    </w:p>
    <w:p>
      <w:pPr>
        <w:pStyle w:val="ListBullet"/>
      </w:pPr>
      <w:r>
        <w:t>Executive Sponsor: one or both Dproperty owners.</w:t>
      </w:r>
    </w:p>
    <w:p>
      <w:pPr>
        <w:pStyle w:val="ListBullet"/>
      </w:pPr>
      <w:r>
        <w:t>Venture/Product Lead: responsible for the OS, roadmap, business case, implementation, and pilots.</w:t>
      </w:r>
    </w:p>
    <w:p>
      <w:pPr>
        <w:pStyle w:val="ListBullet"/>
      </w:pPr>
      <w:r>
        <w:t>Technical Lead: builds platform and integrations.</w:t>
      </w:r>
    </w:p>
    <w:p>
      <w:pPr>
        <w:pStyle w:val="ListBullet"/>
      </w:pPr>
      <w:r>
        <w:t>Legal/Compliance Lead: owns contracts, templates, franchise agreements, white-label agreements, and developer agreements.</w:t>
      </w:r>
    </w:p>
    <w:p>
      <w:pPr>
        <w:pStyle w:val="ListBullet"/>
      </w:pPr>
      <w:r>
        <w:t>Training/Academy Lead: creates operating manuals and certification.</w:t>
      </w:r>
    </w:p>
    <w:p>
      <w:pPr>
        <w:pStyle w:val="ListBullet"/>
      </w:pPr>
      <w:r>
        <w:t>Customer Success Lead: onboarding, support, and adoption.</w:t>
      </w:r>
    </w:p>
    <w:p>
      <w:pPr>
        <w:pStyle w:val="ListBullet"/>
      </w:pPr>
      <w:r>
        <w:t>Sales/BD Lead: recruits white-label clients, developers, and franchise prospects.</w:t>
      </w:r>
    </w:p>
    <w:p>
      <w:pPr>
        <w:pStyle w:val="Heading2"/>
      </w:pPr>
      <w:r>
        <w:t>Governance</w:t>
      </w:r>
    </w:p>
    <w:p>
      <w:pPr>
        <w:pStyle w:val="ListBullet"/>
      </w:pPr>
      <w:r>
        <w:t>Board: two Dproperty owners plus venture lead observer/seat depending on agreed ownership.</w:t>
      </w:r>
    </w:p>
    <w:p>
      <w:pPr>
        <w:pStyle w:val="ListBullet"/>
      </w:pPr>
      <w:r>
        <w:t>Reserved matters: budget, debt, sale of company, equity issuance, major strategic partnerships, IP licensing, and changes to founder equity.</w:t>
      </w:r>
    </w:p>
    <w:p>
      <w:pPr>
        <w:pStyle w:val="ListBullet"/>
      </w:pPr>
      <w:r>
        <w:t>Monthly operating review: pipeline, product, finances, pilots, risks.</w:t>
      </w:r>
    </w:p>
    <w:p>
      <w:pPr>
        <w:pStyle w:val="ListBullet"/>
      </w:pPr>
      <w:r>
        <w:t>Quarterly strategy review: market expansion, product roadmap, legal risk, unit economics.</w:t>
      </w:r>
    </w:p>
    <w:p>
      <w:pPr>
        <w:pStyle w:val="Heading1"/>
      </w:pPr>
      <w:r>
        <w:t>12. Unit economics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2437"/>
          </w:tcPr>
          <w:p>
            <w:r>
              <w:rPr>
                <w:b/>
                <w:color w:val="FFFFFF"/>
                <w:sz w:val="17"/>
              </w:rPr>
              <w:t>Model</w:t>
            </w:r>
          </w:p>
        </w:tc>
        <w:tc>
          <w:tcPr>
            <w:tcW w:type="dxa" w:w="2556"/>
            <w:shd w:fill="0F2437"/>
          </w:tcPr>
          <w:p>
            <w:r>
              <w:rPr>
                <w:b/>
                <w:color w:val="FFFFFF"/>
                <w:sz w:val="17"/>
              </w:rPr>
              <w:t>Core assumption</w:t>
            </w:r>
          </w:p>
        </w:tc>
        <w:tc>
          <w:tcPr>
            <w:tcW w:type="dxa" w:w="2556"/>
            <w:shd w:fill="0F2437"/>
          </w:tcPr>
          <w:p>
            <w:r>
              <w:rPr>
                <w:b/>
                <w:color w:val="FFFFFF"/>
                <w:sz w:val="17"/>
              </w:rPr>
              <w:t>Dproperty revenue logic</w:t>
            </w:r>
          </w:p>
        </w:tc>
        <w:tc>
          <w:tcPr>
            <w:tcW w:type="dxa" w:w="2556"/>
            <w:shd w:fill="0F2437"/>
          </w:tcPr>
          <w:p>
            <w:r>
              <w:rPr>
                <w:b/>
                <w:color w:val="FFFFFF"/>
                <w:sz w:val="17"/>
              </w:rPr>
              <w:t>Example Dproperty revenue</w:t>
            </w:r>
          </w:p>
        </w:tc>
      </w:tr>
      <w:tr>
        <w:tc>
          <w:tcPr>
            <w:tcW w:type="dxa" w:w="2556"/>
            <w:vAlign w:val="top"/>
          </w:tcPr>
          <w:p>
            <w:r>
              <w:rPr>
                <w:sz w:val="17"/>
              </w:rPr>
              <w:t>Branded franchise - local sale</w:t>
            </w:r>
          </w:p>
        </w:tc>
        <w:tc>
          <w:tcPr>
            <w:tcW w:type="dxa" w:w="2556"/>
            <w:vAlign w:val="top"/>
          </w:tcPr>
          <w:p>
            <w:r>
              <w:rPr>
                <w:sz w:val="17"/>
              </w:rPr>
              <w:t>$300k unit, 5% commission = $15k GCI</w:t>
            </w:r>
          </w:p>
        </w:tc>
        <w:tc>
          <w:tcPr>
            <w:tcW w:type="dxa" w:w="2556"/>
            <w:vAlign w:val="top"/>
          </w:tcPr>
          <w:p>
            <w:r>
              <w:rPr>
                <w:sz w:val="17"/>
              </w:rPr>
              <w:t>6% royalty + 1.5% network fee on local GCI</w:t>
            </w:r>
          </w:p>
        </w:tc>
        <w:tc>
          <w:tcPr>
            <w:tcW w:type="dxa" w:w="2556"/>
            <w:vAlign w:val="top"/>
          </w:tcPr>
          <w:p>
            <w:r>
              <w:rPr>
                <w:sz w:val="17"/>
              </w:rPr>
              <w:t>$1,125 per unit</w:t>
            </w:r>
          </w:p>
        </w:tc>
      </w:tr>
      <w:tr>
        <w:tc>
          <w:tcPr>
            <w:tcW w:type="dxa" w:w="2556"/>
            <w:vAlign w:val="top"/>
          </w:tcPr>
          <w:p>
            <w:r>
              <w:rPr>
                <w:sz w:val="17"/>
              </w:rPr>
              <w:t>Private Collection sale</w:t>
            </w:r>
          </w:p>
        </w:tc>
        <w:tc>
          <w:tcPr>
            <w:tcW w:type="dxa" w:w="2556"/>
            <w:vAlign w:val="top"/>
          </w:tcPr>
          <w:p>
            <w:r>
              <w:rPr>
                <w:sz w:val="17"/>
              </w:rPr>
              <w:t>$300k unit, 5% commission = $15k GCI</w:t>
            </w:r>
          </w:p>
        </w:tc>
        <w:tc>
          <w:tcPr>
            <w:tcW w:type="dxa" w:w="2556"/>
            <w:vAlign w:val="top"/>
          </w:tcPr>
          <w:p>
            <w:r>
              <w:rPr>
                <w:sz w:val="17"/>
              </w:rPr>
              <w:t>50/50 HQ-franchise split + 3% royalty + 1% network fee on franchise half</w:t>
            </w:r>
          </w:p>
        </w:tc>
        <w:tc>
          <w:tcPr>
            <w:tcW w:type="dxa" w:w="2556"/>
            <w:vAlign w:val="top"/>
          </w:tcPr>
          <w:p>
            <w:r>
              <w:rPr>
                <w:sz w:val="17"/>
              </w:rPr>
              <w:t>$7,800 per unit</w:t>
            </w:r>
          </w:p>
        </w:tc>
      </w:tr>
      <w:tr>
        <w:tc>
          <w:tcPr>
            <w:tcW w:type="dxa" w:w="2556"/>
            <w:vAlign w:val="top"/>
          </w:tcPr>
          <w:p>
            <w:r>
              <w:rPr>
                <w:sz w:val="17"/>
              </w:rPr>
              <w:t>White-label starter</w:t>
            </w:r>
          </w:p>
        </w:tc>
        <w:tc>
          <w:tcPr>
            <w:tcW w:type="dxa" w:w="2556"/>
            <w:vAlign w:val="top"/>
          </w:tcPr>
          <w:p>
            <w:r>
              <w:rPr>
                <w:sz w:val="17"/>
              </w:rPr>
              <w:t>$10k setup + $1.5k/month</w:t>
            </w:r>
          </w:p>
        </w:tc>
        <w:tc>
          <w:tcPr>
            <w:tcW w:type="dxa" w:w="2556"/>
            <w:vAlign w:val="top"/>
          </w:tcPr>
          <w:p>
            <w:r>
              <w:rPr>
                <w:sz w:val="17"/>
              </w:rPr>
              <w:t>No royalty, pure platform/implementation revenue</w:t>
            </w:r>
          </w:p>
        </w:tc>
        <w:tc>
          <w:tcPr>
            <w:tcW w:type="dxa" w:w="2556"/>
            <w:vAlign w:val="top"/>
          </w:tcPr>
          <w:p>
            <w:r>
              <w:rPr>
                <w:sz w:val="17"/>
              </w:rPr>
              <w:t>$28k launch-year / $18k recurring</w:t>
            </w:r>
          </w:p>
        </w:tc>
      </w:tr>
      <w:tr>
        <w:tc>
          <w:tcPr>
            <w:tcW w:type="dxa" w:w="2556"/>
            <w:vAlign w:val="top"/>
          </w:tcPr>
          <w:p>
            <w:r>
              <w:rPr>
                <w:sz w:val="17"/>
              </w:rPr>
              <w:t>Developer Sales OS</w:t>
            </w:r>
          </w:p>
        </w:tc>
        <w:tc>
          <w:tcPr>
            <w:tcW w:type="dxa" w:w="2556"/>
            <w:vAlign w:val="top"/>
          </w:tcPr>
          <w:p>
            <w:r>
              <w:rPr>
                <w:sz w:val="17"/>
              </w:rPr>
              <w:t>$15M project value, 40 team sales + 10 Dproperty/network sales</w:t>
            </w:r>
          </w:p>
        </w:tc>
        <w:tc>
          <w:tcPr>
            <w:tcW w:type="dxa" w:w="2556"/>
            <w:vAlign w:val="top"/>
          </w:tcPr>
          <w:p>
            <w:r>
              <w:rPr>
                <w:sz w:val="17"/>
              </w:rPr>
              <w:t>0.5% on team sales + 2.5% on Dproperty/network sales</w:t>
            </w:r>
          </w:p>
        </w:tc>
        <w:tc>
          <w:tcPr>
            <w:tcW w:type="dxa" w:w="2556"/>
            <w:vAlign w:val="top"/>
          </w:tcPr>
          <w:p>
            <w:r>
              <w:rPr>
                <w:sz w:val="17"/>
              </w:rPr>
              <w:t>$135k per project</w:t>
            </w:r>
          </w:p>
        </w:tc>
      </w:tr>
    </w:tbl>
    <w:p/>
    <w:p>
      <w:pPr>
        <w:pStyle w:val="Heading1"/>
      </w:pPr>
      <w:r>
        <w:t>13. Five-year financial projection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0F2437"/>
          </w:tcPr>
          <w:p>
            <w:r>
              <w:rPr>
                <w:b/>
                <w:color w:val="FFFFFF"/>
                <w:sz w:val="17"/>
              </w:rPr>
              <w:t>Year</w:t>
            </w:r>
          </w:p>
        </w:tc>
        <w:tc>
          <w:tcPr>
            <w:tcW w:type="dxa" w:w="1278"/>
            <w:shd w:fill="0F2437"/>
          </w:tcPr>
          <w:p>
            <w:r>
              <w:rPr>
                <w:b/>
                <w:color w:val="FFFFFF"/>
                <w:sz w:val="17"/>
              </w:rPr>
              <w:t>Branded Franchises EOY</w:t>
            </w:r>
          </w:p>
        </w:tc>
        <w:tc>
          <w:tcPr>
            <w:tcW w:type="dxa" w:w="1278"/>
            <w:shd w:fill="0F2437"/>
          </w:tcPr>
          <w:p>
            <w:r>
              <w:rPr>
                <w:b/>
                <w:color w:val="FFFFFF"/>
                <w:sz w:val="17"/>
              </w:rPr>
              <w:t>White-label Agencies EOY</w:t>
            </w:r>
          </w:p>
        </w:tc>
        <w:tc>
          <w:tcPr>
            <w:tcW w:type="dxa" w:w="1278"/>
            <w:shd w:fill="0F2437"/>
          </w:tcPr>
          <w:p>
            <w:r>
              <w:rPr>
                <w:b/>
                <w:color w:val="FFFFFF"/>
                <w:sz w:val="17"/>
              </w:rPr>
              <w:t>Developer Projects / Year</w:t>
            </w:r>
          </w:p>
        </w:tc>
        <w:tc>
          <w:tcPr>
            <w:tcW w:type="dxa" w:w="1278"/>
            <w:shd w:fill="0F2437"/>
          </w:tcPr>
          <w:p>
            <w:r>
              <w:rPr>
                <w:b/>
                <w:color w:val="FFFFFF"/>
                <w:sz w:val="17"/>
              </w:rPr>
              <w:t>Revenue</w:t>
            </w:r>
          </w:p>
        </w:tc>
        <w:tc>
          <w:tcPr>
            <w:tcW w:type="dxa" w:w="1278"/>
            <w:shd w:fill="0F2437"/>
          </w:tcPr>
          <w:p>
            <w:r>
              <w:rPr>
                <w:b/>
                <w:color w:val="FFFFFF"/>
                <w:sz w:val="17"/>
              </w:rPr>
              <w:t>Gross Profit</w:t>
            </w:r>
          </w:p>
        </w:tc>
        <w:tc>
          <w:tcPr>
            <w:tcW w:type="dxa" w:w="1278"/>
            <w:shd w:fill="0F2437"/>
          </w:tcPr>
          <w:p>
            <w:r>
              <w:rPr>
                <w:b/>
                <w:color w:val="FFFFFF"/>
                <w:sz w:val="17"/>
              </w:rPr>
              <w:t>OPEX</w:t>
            </w:r>
          </w:p>
        </w:tc>
        <w:tc>
          <w:tcPr>
            <w:tcW w:type="dxa" w:w="1278"/>
            <w:shd w:fill="0F2437"/>
          </w:tcPr>
          <w:p>
            <w:r>
              <w:rPr>
                <w:b/>
                <w:color w:val="FFFFFF"/>
                <w:sz w:val="17"/>
              </w:rPr>
              <w:t>EBITDA</w:t>
            </w:r>
          </w:p>
        </w:tc>
      </w:tr>
      <w:tr>
        <w:tc>
          <w:tcPr>
            <w:tcW w:type="dxa" w:w="1278"/>
            <w:vAlign w:val="top"/>
          </w:tcPr>
          <w:p>
            <w:r>
              <w:rPr>
                <w:sz w:val="17"/>
              </w:rPr>
              <w:t>1</w:t>
            </w:r>
          </w:p>
        </w:tc>
        <w:tc>
          <w:tcPr>
            <w:tcW w:type="dxa" w:w="1278"/>
            <w:vAlign w:val="top"/>
          </w:tcPr>
          <w:p>
            <w:r>
              <w:rPr>
                <w:sz w:val="17"/>
              </w:rPr>
              <w:t>0</w:t>
            </w:r>
          </w:p>
        </w:tc>
        <w:tc>
          <w:tcPr>
            <w:tcW w:type="dxa" w:w="1278"/>
            <w:vAlign w:val="top"/>
          </w:tcPr>
          <w:p>
            <w:r>
              <w:rPr>
                <w:sz w:val="17"/>
              </w:rPr>
              <w:t>2</w:t>
            </w:r>
          </w:p>
        </w:tc>
        <w:tc>
          <w:tcPr>
            <w:tcW w:type="dxa" w:w="1278"/>
            <w:vAlign w:val="top"/>
          </w:tcPr>
          <w:p>
            <w:r>
              <w:rPr>
                <w:sz w:val="17"/>
              </w:rPr>
              <w:t>1</w:t>
            </w:r>
          </w:p>
        </w:tc>
        <w:tc>
          <w:tcPr>
            <w:tcW w:type="dxa" w:w="1278"/>
            <w:vAlign w:val="top"/>
          </w:tcPr>
          <w:p>
            <w:r>
              <w:rPr>
                <w:sz w:val="17"/>
              </w:rPr>
              <w:t>$128,000</w:t>
            </w:r>
          </w:p>
        </w:tc>
        <w:tc>
          <w:tcPr>
            <w:tcW w:type="dxa" w:w="1278"/>
            <w:vAlign w:val="top"/>
          </w:tcPr>
          <w:p>
            <w:r>
              <w:rPr>
                <w:sz w:val="17"/>
              </w:rPr>
              <w:t>$78,000</w:t>
            </w:r>
          </w:p>
        </w:tc>
        <w:tc>
          <w:tcPr>
            <w:tcW w:type="dxa" w:w="1278"/>
            <w:vAlign w:val="top"/>
          </w:tcPr>
          <w:p>
            <w:r>
              <w:rPr>
                <w:sz w:val="17"/>
              </w:rPr>
              <w:t>$425,000</w:t>
            </w:r>
          </w:p>
        </w:tc>
        <w:tc>
          <w:tcPr>
            <w:tcW w:type="dxa" w:w="1278"/>
            <w:vAlign w:val="top"/>
          </w:tcPr>
          <w:p>
            <w:r>
              <w:rPr>
                <w:sz w:val="17"/>
              </w:rPr>
              <w:t>($347,000)</w:t>
            </w:r>
          </w:p>
        </w:tc>
      </w:tr>
      <w:tr>
        <w:tc>
          <w:tcPr>
            <w:tcW w:type="dxa" w:w="1278"/>
            <w:vAlign w:val="top"/>
          </w:tcPr>
          <w:p>
            <w:r>
              <w:rPr>
                <w:sz w:val="17"/>
              </w:rPr>
              <w:t>2</w:t>
            </w:r>
          </w:p>
        </w:tc>
        <w:tc>
          <w:tcPr>
            <w:tcW w:type="dxa" w:w="1278"/>
            <w:vAlign w:val="top"/>
          </w:tcPr>
          <w:p>
            <w:r>
              <w:rPr>
                <w:sz w:val="17"/>
              </w:rPr>
              <w:t>1</w:t>
            </w:r>
          </w:p>
        </w:tc>
        <w:tc>
          <w:tcPr>
            <w:tcW w:type="dxa" w:w="1278"/>
            <w:vAlign w:val="top"/>
          </w:tcPr>
          <w:p>
            <w:r>
              <w:rPr>
                <w:sz w:val="17"/>
              </w:rPr>
              <w:t>5</w:t>
            </w:r>
          </w:p>
        </w:tc>
        <w:tc>
          <w:tcPr>
            <w:tcW w:type="dxa" w:w="1278"/>
            <w:vAlign w:val="top"/>
          </w:tcPr>
          <w:p>
            <w:r>
              <w:rPr>
                <w:sz w:val="17"/>
              </w:rPr>
              <w:t>3</w:t>
            </w:r>
          </w:p>
        </w:tc>
        <w:tc>
          <w:tcPr>
            <w:tcW w:type="dxa" w:w="1278"/>
            <w:vAlign w:val="top"/>
          </w:tcPr>
          <w:p>
            <w:r>
              <w:rPr>
                <w:sz w:val="17"/>
              </w:rPr>
              <w:t>$463,000</w:t>
            </w:r>
          </w:p>
        </w:tc>
        <w:tc>
          <w:tcPr>
            <w:tcW w:type="dxa" w:w="1278"/>
            <w:vAlign w:val="top"/>
          </w:tcPr>
          <w:p>
            <w:r>
              <w:rPr>
                <w:sz w:val="17"/>
              </w:rPr>
              <w:t>$288,250</w:t>
            </w:r>
          </w:p>
        </w:tc>
        <w:tc>
          <w:tcPr>
            <w:tcW w:type="dxa" w:w="1278"/>
            <w:vAlign w:val="top"/>
          </w:tcPr>
          <w:p>
            <w:r>
              <w:rPr>
                <w:sz w:val="17"/>
              </w:rPr>
              <w:t>$403,000</w:t>
            </w:r>
          </w:p>
        </w:tc>
        <w:tc>
          <w:tcPr>
            <w:tcW w:type="dxa" w:w="1278"/>
            <w:vAlign w:val="top"/>
          </w:tcPr>
          <w:p>
            <w:r>
              <w:rPr>
                <w:sz w:val="17"/>
              </w:rPr>
              <w:t>($114,750)</w:t>
            </w:r>
          </w:p>
        </w:tc>
      </w:tr>
      <w:tr>
        <w:tc>
          <w:tcPr>
            <w:tcW w:type="dxa" w:w="1278"/>
            <w:vAlign w:val="top"/>
          </w:tcPr>
          <w:p>
            <w:r>
              <w:rPr>
                <w:sz w:val="17"/>
              </w:rPr>
              <w:t>3</w:t>
            </w:r>
          </w:p>
        </w:tc>
        <w:tc>
          <w:tcPr>
            <w:tcW w:type="dxa" w:w="1278"/>
            <w:vAlign w:val="top"/>
          </w:tcPr>
          <w:p>
            <w:r>
              <w:rPr>
                <w:sz w:val="17"/>
              </w:rPr>
              <w:t>2</w:t>
            </w:r>
          </w:p>
        </w:tc>
        <w:tc>
          <w:tcPr>
            <w:tcW w:type="dxa" w:w="1278"/>
            <w:vAlign w:val="top"/>
          </w:tcPr>
          <w:p>
            <w:r>
              <w:rPr>
                <w:sz w:val="17"/>
              </w:rPr>
              <w:t>10</w:t>
            </w:r>
          </w:p>
        </w:tc>
        <w:tc>
          <w:tcPr>
            <w:tcW w:type="dxa" w:w="1278"/>
            <w:vAlign w:val="top"/>
          </w:tcPr>
          <w:p>
            <w:r>
              <w:rPr>
                <w:sz w:val="17"/>
              </w:rPr>
              <w:t>6</w:t>
            </w:r>
          </w:p>
        </w:tc>
        <w:tc>
          <w:tcPr>
            <w:tcW w:type="dxa" w:w="1278"/>
            <w:vAlign w:val="top"/>
          </w:tcPr>
          <w:p>
            <w:r>
              <w:rPr>
                <w:sz w:val="17"/>
              </w:rPr>
              <w:t>$960,000</w:t>
            </w:r>
          </w:p>
        </w:tc>
        <w:tc>
          <w:tcPr>
            <w:tcW w:type="dxa" w:w="1278"/>
            <w:vAlign w:val="top"/>
          </w:tcPr>
          <w:p>
            <w:r>
              <w:rPr>
                <w:sz w:val="17"/>
              </w:rPr>
              <w:t>$600,250</w:t>
            </w:r>
          </w:p>
        </w:tc>
        <w:tc>
          <w:tcPr>
            <w:tcW w:type="dxa" w:w="1278"/>
            <w:vAlign w:val="top"/>
          </w:tcPr>
          <w:p>
            <w:r>
              <w:rPr>
                <w:sz w:val="17"/>
              </w:rPr>
              <w:t>$502,000</w:t>
            </w:r>
          </w:p>
        </w:tc>
        <w:tc>
          <w:tcPr>
            <w:tcW w:type="dxa" w:w="1278"/>
            <w:vAlign w:val="top"/>
          </w:tcPr>
          <w:p>
            <w:r>
              <w:rPr>
                <w:sz w:val="17"/>
              </w:rPr>
              <w:t>$98,250</w:t>
            </w:r>
          </w:p>
        </w:tc>
      </w:tr>
      <w:tr>
        <w:tc>
          <w:tcPr>
            <w:tcW w:type="dxa" w:w="1278"/>
            <w:vAlign w:val="top"/>
          </w:tcPr>
          <w:p>
            <w:r>
              <w:rPr>
                <w:sz w:val="17"/>
              </w:rPr>
              <w:t>4</w:t>
            </w:r>
          </w:p>
        </w:tc>
        <w:tc>
          <w:tcPr>
            <w:tcW w:type="dxa" w:w="1278"/>
            <w:vAlign w:val="top"/>
          </w:tcPr>
          <w:p>
            <w:r>
              <w:rPr>
                <w:sz w:val="17"/>
              </w:rPr>
              <w:t>3</w:t>
            </w:r>
          </w:p>
        </w:tc>
        <w:tc>
          <w:tcPr>
            <w:tcW w:type="dxa" w:w="1278"/>
            <w:vAlign w:val="top"/>
          </w:tcPr>
          <w:p>
            <w:r>
              <w:rPr>
                <w:sz w:val="17"/>
              </w:rPr>
              <w:t>15</w:t>
            </w:r>
          </w:p>
        </w:tc>
        <w:tc>
          <w:tcPr>
            <w:tcW w:type="dxa" w:w="1278"/>
            <w:vAlign w:val="top"/>
          </w:tcPr>
          <w:p>
            <w:r>
              <w:rPr>
                <w:sz w:val="17"/>
              </w:rPr>
              <w:t>10</w:t>
            </w:r>
          </w:p>
        </w:tc>
        <w:tc>
          <w:tcPr>
            <w:tcW w:type="dxa" w:w="1278"/>
            <w:vAlign w:val="top"/>
          </w:tcPr>
          <w:p>
            <w:r>
              <w:rPr>
                <w:sz w:val="17"/>
              </w:rPr>
              <w:t>$1,545,000</w:t>
            </w:r>
          </w:p>
        </w:tc>
        <w:tc>
          <w:tcPr>
            <w:tcW w:type="dxa" w:w="1278"/>
            <w:vAlign w:val="top"/>
          </w:tcPr>
          <w:p>
            <w:r>
              <w:rPr>
                <w:sz w:val="17"/>
              </w:rPr>
              <w:t>$960,250</w:t>
            </w:r>
          </w:p>
        </w:tc>
        <w:tc>
          <w:tcPr>
            <w:tcW w:type="dxa" w:w="1278"/>
            <w:vAlign w:val="top"/>
          </w:tcPr>
          <w:p>
            <w:r>
              <w:rPr>
                <w:sz w:val="17"/>
              </w:rPr>
              <w:t>$646,000</w:t>
            </w:r>
          </w:p>
        </w:tc>
        <w:tc>
          <w:tcPr>
            <w:tcW w:type="dxa" w:w="1278"/>
            <w:vAlign w:val="top"/>
          </w:tcPr>
          <w:p>
            <w:r>
              <w:rPr>
                <w:sz w:val="17"/>
              </w:rPr>
              <w:t>$314,250</w:t>
            </w:r>
          </w:p>
        </w:tc>
      </w:tr>
      <w:tr>
        <w:tc>
          <w:tcPr>
            <w:tcW w:type="dxa" w:w="1278"/>
            <w:vAlign w:val="top"/>
          </w:tcPr>
          <w:p>
            <w:r>
              <w:rPr>
                <w:sz w:val="17"/>
              </w:rPr>
              <w:t>5</w:t>
            </w:r>
          </w:p>
        </w:tc>
        <w:tc>
          <w:tcPr>
            <w:tcW w:type="dxa" w:w="1278"/>
            <w:vAlign w:val="top"/>
          </w:tcPr>
          <w:p>
            <w:r>
              <w:rPr>
                <w:sz w:val="17"/>
              </w:rPr>
              <w:t>5</w:t>
            </w:r>
          </w:p>
        </w:tc>
        <w:tc>
          <w:tcPr>
            <w:tcW w:type="dxa" w:w="1278"/>
            <w:vAlign w:val="top"/>
          </w:tcPr>
          <w:p>
            <w:r>
              <w:rPr>
                <w:sz w:val="17"/>
              </w:rPr>
              <w:t>20</w:t>
            </w:r>
          </w:p>
        </w:tc>
        <w:tc>
          <w:tcPr>
            <w:tcW w:type="dxa" w:w="1278"/>
            <w:vAlign w:val="top"/>
          </w:tcPr>
          <w:p>
            <w:r>
              <w:rPr>
                <w:sz w:val="17"/>
              </w:rPr>
              <w:t>15</w:t>
            </w:r>
          </w:p>
        </w:tc>
        <w:tc>
          <w:tcPr>
            <w:tcW w:type="dxa" w:w="1278"/>
            <w:vAlign w:val="top"/>
          </w:tcPr>
          <w:p>
            <w:r>
              <w:rPr>
                <w:sz w:val="17"/>
              </w:rPr>
              <w:t>$2,320,000</w:t>
            </w:r>
          </w:p>
        </w:tc>
        <w:tc>
          <w:tcPr>
            <w:tcW w:type="dxa" w:w="1278"/>
            <w:vAlign w:val="top"/>
          </w:tcPr>
          <w:p>
            <w:r>
              <w:rPr>
                <w:sz w:val="17"/>
              </w:rPr>
              <w:t>$1,439,750</w:t>
            </w:r>
          </w:p>
        </w:tc>
        <w:tc>
          <w:tcPr>
            <w:tcW w:type="dxa" w:w="1278"/>
            <w:vAlign w:val="top"/>
          </w:tcPr>
          <w:p>
            <w:r>
              <w:rPr>
                <w:sz w:val="17"/>
              </w:rPr>
              <w:t>$805,000</w:t>
            </w:r>
          </w:p>
        </w:tc>
        <w:tc>
          <w:tcPr>
            <w:tcW w:type="dxa" w:w="1278"/>
            <w:vAlign w:val="top"/>
          </w:tcPr>
          <w:p>
            <w:r>
              <w:rPr>
                <w:sz w:val="17"/>
              </w:rPr>
              <w:t>$634,750</w:t>
            </w:r>
          </w:p>
        </w:tc>
      </w:tr>
    </w:tbl>
    <w:p/>
    <w:p>
      <w:pPr>
        <w:pStyle w:val="Heading1"/>
      </w:pPr>
      <w:r>
        <w:t>14. Why EBITDA is negative in Years 1 and 2</w:t>
      </w:r>
    </w:p>
    <w:p>
      <w:r>
        <w:t>The business requires upfront investment before sufficient recurring revenue exists. Product build, legal structuring, template creation, training academy, implementation capacity, and venture-lead salary happen before the customer base is mature. The model turns EBITDA-positive in Year 3 when platform revenue and developer revenue begin to cover the fixed operating base.</w:t>
      </w:r>
    </w:p>
    <w:p>
      <w:pPr>
        <w:pStyle w:val="Heading1"/>
      </w:pPr>
      <w:r>
        <w:t>15. Internal venture budget</w:t>
      </w:r>
    </w:p>
    <w:p>
      <w:r>
        <w:t>Recommended internal budget: **$650,000 over 24 months**.</w:t>
      </w:r>
    </w:p>
    <w:tbl>
      <w:tblPr>
        <w:tblStyle w:val="TableGrid"/>
        <w:tblW w:type="auto" w:w="0"/>
        <w:jc w:val="center"/>
        <w:tblLook w:firstColumn="1" w:firstRow="1" w:lastColumn="0" w:lastRow="0" w:noHBand="0" w:noVBand="1" w:val="04A0"/>
      </w:tblPr>
      <w:tblGrid>
        <w:gridCol w:w="5112"/>
        <w:gridCol w:w="5112"/>
      </w:tblGrid>
      <w:tr>
        <w:tc>
          <w:tcPr>
            <w:tcW w:type="dxa" w:w="5112"/>
            <w:shd w:fill="0F2437"/>
          </w:tcPr>
          <w:p>
            <w:r>
              <w:rPr>
                <w:b/>
                <w:color w:val="FFFFFF"/>
                <w:sz w:val="17"/>
              </w:rPr>
              <w:t>Use of funds</w:t>
            </w:r>
          </w:p>
        </w:tc>
        <w:tc>
          <w:tcPr>
            <w:tcW w:type="dxa" w:w="5112"/>
            <w:shd w:fill="0F2437"/>
          </w:tcPr>
          <w:p>
            <w:r>
              <w:rPr>
                <w:b/>
                <w:color w:val="FFFFFF"/>
                <w:sz w:val="17"/>
              </w:rPr>
              <w:t>Budget</w:t>
            </w:r>
          </w:p>
        </w:tc>
      </w:tr>
      <w:tr>
        <w:tc>
          <w:tcPr>
            <w:tcW w:type="dxa" w:w="5112"/>
            <w:vAlign w:val="top"/>
          </w:tcPr>
          <w:p>
            <w:r>
              <w:rPr>
                <w:sz w:val="17"/>
              </w:rPr>
              <w:t>Product build and development</w:t>
            </w:r>
          </w:p>
        </w:tc>
        <w:tc>
          <w:tcPr>
            <w:tcW w:type="dxa" w:w="5112"/>
            <w:vAlign w:val="top"/>
          </w:tcPr>
          <w:p>
            <w:r>
              <w:rPr>
                <w:sz w:val="17"/>
              </w:rPr>
              <w:t>$140,000</w:t>
            </w:r>
          </w:p>
        </w:tc>
      </w:tr>
      <w:tr>
        <w:tc>
          <w:tcPr>
            <w:tcW w:type="dxa" w:w="5112"/>
            <w:vAlign w:val="top"/>
          </w:tcPr>
          <w:p>
            <w:r>
              <w:rPr>
                <w:sz w:val="17"/>
              </w:rPr>
              <w:t>Product/Venture Lead salary reserve</w:t>
            </w:r>
          </w:p>
        </w:tc>
        <w:tc>
          <w:tcPr>
            <w:tcW w:type="dxa" w:w="5112"/>
            <w:vAlign w:val="top"/>
          </w:tcPr>
          <w:p>
            <w:r>
              <w:rPr>
                <w:sz w:val="17"/>
              </w:rPr>
              <w:t>$150,000</w:t>
            </w:r>
          </w:p>
        </w:tc>
      </w:tr>
      <w:tr>
        <w:tc>
          <w:tcPr>
            <w:tcW w:type="dxa" w:w="5112"/>
            <w:vAlign w:val="top"/>
          </w:tcPr>
          <w:p>
            <w:r>
              <w:rPr>
                <w:sz w:val="17"/>
              </w:rPr>
              <w:t>Legal/franchise/template structure</w:t>
            </w:r>
          </w:p>
        </w:tc>
        <w:tc>
          <w:tcPr>
            <w:tcW w:type="dxa" w:w="5112"/>
            <w:vAlign w:val="top"/>
          </w:tcPr>
          <w:p>
            <w:r>
              <w:rPr>
                <w:sz w:val="17"/>
              </w:rPr>
              <w:t>$80,000</w:t>
            </w:r>
          </w:p>
        </w:tc>
      </w:tr>
      <w:tr>
        <w:tc>
          <w:tcPr>
            <w:tcW w:type="dxa" w:w="5112"/>
            <w:vAlign w:val="top"/>
          </w:tcPr>
          <w:p>
            <w:r>
              <w:rPr>
                <w:sz w:val="17"/>
              </w:rPr>
              <w:t>Training academy and manuals</w:t>
            </w:r>
          </w:p>
        </w:tc>
        <w:tc>
          <w:tcPr>
            <w:tcW w:type="dxa" w:w="5112"/>
            <w:vAlign w:val="top"/>
          </w:tcPr>
          <w:p>
            <w:r>
              <w:rPr>
                <w:sz w:val="17"/>
              </w:rPr>
              <w:t>$55,000</w:t>
            </w:r>
          </w:p>
        </w:tc>
      </w:tr>
      <w:tr>
        <w:tc>
          <w:tcPr>
            <w:tcW w:type="dxa" w:w="5112"/>
            <w:vAlign w:val="top"/>
          </w:tcPr>
          <w:p>
            <w:r>
              <w:rPr>
                <w:sz w:val="17"/>
              </w:rPr>
              <w:t>Customer success and pilot implementation</w:t>
            </w:r>
          </w:p>
        </w:tc>
        <w:tc>
          <w:tcPr>
            <w:tcW w:type="dxa" w:w="5112"/>
            <w:vAlign w:val="top"/>
          </w:tcPr>
          <w:p>
            <w:r>
              <w:rPr>
                <w:sz w:val="17"/>
              </w:rPr>
              <w:t>$85,000</w:t>
            </w:r>
          </w:p>
        </w:tc>
      </w:tr>
      <w:tr>
        <w:tc>
          <w:tcPr>
            <w:tcW w:type="dxa" w:w="5112"/>
            <w:vAlign w:val="top"/>
          </w:tcPr>
          <w:p>
            <w:r>
              <w:rPr>
                <w:sz w:val="17"/>
              </w:rPr>
              <w:t>Sales/BD/travel</w:t>
            </w:r>
          </w:p>
        </w:tc>
        <w:tc>
          <w:tcPr>
            <w:tcW w:type="dxa" w:w="5112"/>
            <w:vAlign w:val="top"/>
          </w:tcPr>
          <w:p>
            <w:r>
              <w:rPr>
                <w:sz w:val="17"/>
              </w:rPr>
              <w:t>$65,000</w:t>
            </w:r>
          </w:p>
        </w:tc>
      </w:tr>
      <w:tr>
        <w:tc>
          <w:tcPr>
            <w:tcW w:type="dxa" w:w="5112"/>
            <w:vAlign w:val="top"/>
          </w:tcPr>
          <w:p>
            <w:r>
              <w:rPr>
                <w:sz w:val="17"/>
              </w:rPr>
              <w:t>Hosting/tools/admin</w:t>
            </w:r>
          </w:p>
        </w:tc>
        <w:tc>
          <w:tcPr>
            <w:tcW w:type="dxa" w:w="5112"/>
            <w:vAlign w:val="top"/>
          </w:tcPr>
          <w:p>
            <w:r>
              <w:rPr>
                <w:sz w:val="17"/>
              </w:rPr>
              <w:t>$60,000</w:t>
            </w:r>
          </w:p>
        </w:tc>
      </w:tr>
      <w:tr>
        <w:tc>
          <w:tcPr>
            <w:tcW w:type="dxa" w:w="5112"/>
            <w:vAlign w:val="top"/>
          </w:tcPr>
          <w:p>
            <w:r>
              <w:rPr>
                <w:sz w:val="17"/>
              </w:rPr>
              <w:t>Contingency</w:t>
            </w:r>
          </w:p>
        </w:tc>
        <w:tc>
          <w:tcPr>
            <w:tcW w:type="dxa" w:w="5112"/>
            <w:vAlign w:val="top"/>
          </w:tcPr>
          <w:p>
            <w:r>
              <w:rPr>
                <w:sz w:val="17"/>
              </w:rPr>
              <w:t>$15,000</w:t>
            </w:r>
          </w:p>
        </w:tc>
      </w:tr>
      <w:tr>
        <w:tc>
          <w:tcPr>
            <w:tcW w:type="dxa" w:w="5112"/>
            <w:vAlign w:val="top"/>
          </w:tcPr>
          <w:p>
            <w:r>
              <w:rPr>
                <w:sz w:val="17"/>
              </w:rPr>
              <w:t>Total</w:t>
            </w:r>
          </w:p>
        </w:tc>
        <w:tc>
          <w:tcPr>
            <w:tcW w:type="dxa" w:w="5112"/>
            <w:vAlign w:val="top"/>
          </w:tcPr>
          <w:p>
            <w:r>
              <w:rPr>
                <w:sz w:val="17"/>
              </w:rPr>
              <w:t>$650,000</w:t>
            </w:r>
          </w:p>
        </w:tc>
      </w:tr>
    </w:tbl>
    <w:p/>
    <w:p>
      <w:r>
        <w:t>Note: some categories are spread across 24 months; the table is a funding envelope, not a strict Year 1 P&amp;L.</w:t>
      </w:r>
    </w:p>
    <w:p>
      <w:pPr>
        <w:pStyle w:val="Heading1"/>
      </w:pPr>
      <w:r>
        <w:t>16. Risk analysis</w:t>
      </w:r>
    </w:p>
    <w:tbl>
      <w:tblPr>
        <w:tblStyle w:val="TableGrid"/>
        <w:tblW w:type="auto" w:w="0"/>
        <w:jc w:val="center"/>
        <w:tblLook w:firstColumn="1" w:firstRow="1" w:lastColumn="0" w:lastRow="0" w:noHBand="0" w:noVBand="1" w:val="04A0"/>
      </w:tblPr>
      <w:tblGrid>
        <w:gridCol w:w="5112"/>
        <w:gridCol w:w="5112"/>
      </w:tblGrid>
      <w:tr>
        <w:tc>
          <w:tcPr>
            <w:tcW w:type="dxa" w:w="5112"/>
            <w:shd w:fill="0F2437"/>
          </w:tcPr>
          <w:p>
            <w:r>
              <w:rPr>
                <w:b/>
                <w:color w:val="FFFFFF"/>
                <w:sz w:val="17"/>
              </w:rPr>
              <w:t>Risk</w:t>
            </w:r>
          </w:p>
        </w:tc>
        <w:tc>
          <w:tcPr>
            <w:tcW w:type="dxa" w:w="5112"/>
            <w:shd w:fill="0F2437"/>
          </w:tcPr>
          <w:p>
            <w:r>
              <w:rPr>
                <w:b/>
                <w:color w:val="FFFFFF"/>
                <w:sz w:val="17"/>
              </w:rPr>
              <w:t>Mitigation</w:t>
            </w:r>
          </w:p>
        </w:tc>
      </w:tr>
      <w:tr>
        <w:tc>
          <w:tcPr>
            <w:tcW w:type="dxa" w:w="5112"/>
            <w:vAlign w:val="top"/>
          </w:tcPr>
          <w:p>
            <w:r>
              <w:rPr>
                <w:sz w:val="17"/>
              </w:rPr>
              <w:t>Product overbuilt before validation</w:t>
            </w:r>
          </w:p>
        </w:tc>
        <w:tc>
          <w:tcPr>
            <w:tcW w:type="dxa" w:w="5112"/>
            <w:vAlign w:val="top"/>
          </w:tcPr>
          <w:p>
            <w:r>
              <w:rPr>
                <w:sz w:val="17"/>
              </w:rPr>
              <w:t>Build MVP internally first, then pilots.</w:t>
            </w:r>
          </w:p>
        </w:tc>
      </w:tr>
      <w:tr>
        <w:tc>
          <w:tcPr>
            <w:tcW w:type="dxa" w:w="5112"/>
            <w:vAlign w:val="top"/>
          </w:tcPr>
          <w:p>
            <w:r>
              <w:rPr>
                <w:sz w:val="17"/>
              </w:rPr>
              <w:t>Franchisee underperformance</w:t>
            </w:r>
          </w:p>
        </w:tc>
        <w:tc>
          <w:tcPr>
            <w:tcW w:type="dxa" w:w="5112"/>
            <w:vAlign w:val="top"/>
          </w:tcPr>
          <w:p>
            <w:r>
              <w:rPr>
                <w:sz w:val="17"/>
              </w:rPr>
              <w:t>Only approve owner-operators who can reach 40–50 units/year within 24 months.</w:t>
            </w:r>
          </w:p>
        </w:tc>
      </w:tr>
      <w:tr>
        <w:tc>
          <w:tcPr>
            <w:tcW w:type="dxa" w:w="5112"/>
            <w:vAlign w:val="top"/>
          </w:tcPr>
          <w:p>
            <w:r>
              <w:rPr>
                <w:sz w:val="17"/>
              </w:rPr>
              <w:t>Developer projects underperform</w:t>
            </w:r>
          </w:p>
        </w:tc>
        <w:tc>
          <w:tcPr>
            <w:tcW w:type="dxa" w:w="5112"/>
            <w:vAlign w:val="top"/>
          </w:tcPr>
          <w:p>
            <w:r>
              <w:rPr>
                <w:sz w:val="17"/>
              </w:rPr>
              <w:t>Monthly minimums creditable against success fees.</w:t>
            </w:r>
          </w:p>
        </w:tc>
      </w:tr>
      <w:tr>
        <w:tc>
          <w:tcPr>
            <w:tcW w:type="dxa" w:w="5112"/>
            <w:vAlign w:val="top"/>
          </w:tcPr>
          <w:p>
            <w:r>
              <w:rPr>
                <w:sz w:val="17"/>
              </w:rPr>
              <w:t>White-label clients copy the system</w:t>
            </w:r>
          </w:p>
        </w:tc>
        <w:tc>
          <w:tcPr>
            <w:tcW w:type="dxa" w:w="5112"/>
            <w:vAlign w:val="top"/>
          </w:tcPr>
          <w:p>
            <w:r>
              <w:rPr>
                <w:sz w:val="17"/>
              </w:rPr>
              <w:t>Strong IP, data, template, and reverse-engineering protections.</w:t>
            </w:r>
          </w:p>
        </w:tc>
      </w:tr>
      <w:tr>
        <w:tc>
          <w:tcPr>
            <w:tcW w:type="dxa" w:w="5112"/>
            <w:vAlign w:val="top"/>
          </w:tcPr>
          <w:p>
            <w:r>
              <w:rPr>
                <w:sz w:val="17"/>
              </w:rPr>
              <w:t>Operational support burden grows</w:t>
            </w:r>
          </w:p>
        </w:tc>
        <w:tc>
          <w:tcPr>
            <w:tcW w:type="dxa" w:w="5112"/>
            <w:vAlign w:val="top"/>
          </w:tcPr>
          <w:p>
            <w:r>
              <w:rPr>
                <w:sz w:val="17"/>
              </w:rPr>
              <w:t>Build training academy, certification, and customer-success processes early.</w:t>
            </w:r>
          </w:p>
        </w:tc>
      </w:tr>
      <w:tr>
        <w:tc>
          <w:tcPr>
            <w:tcW w:type="dxa" w:w="5112"/>
            <w:vAlign w:val="top"/>
          </w:tcPr>
          <w:p>
            <w:r>
              <w:rPr>
                <w:sz w:val="17"/>
              </w:rPr>
              <w:t>Private Collection quality dilution</w:t>
            </w:r>
          </w:p>
        </w:tc>
        <w:tc>
          <w:tcPr>
            <w:tcW w:type="dxa" w:w="5112"/>
            <w:vAlign w:val="top"/>
          </w:tcPr>
          <w:p>
            <w:r>
              <w:rPr>
                <w:sz w:val="17"/>
              </w:rPr>
              <w:t>HQ senior managers retain control of curated inventory.</w:t>
            </w:r>
          </w:p>
        </w:tc>
      </w:tr>
    </w:tbl>
    <w:p/>
    <w:p>
      <w:pPr>
        <w:pStyle w:val="Heading1"/>
      </w:pPr>
      <w:r>
        <w:t>17. Exit strategy</w:t>
      </w:r>
    </w:p>
    <w:p>
      <w:r>
        <w:t>Potential outcomes:</w:t>
      </w:r>
    </w:p>
    <w:p>
      <w:pPr>
        <w:pStyle w:val="ListBullet"/>
      </w:pPr>
      <w:r>
        <w:t>Sale to a premium real estate franchise group.</w:t>
      </w:r>
    </w:p>
    <w:p>
      <w:pPr>
        <w:pStyle w:val="ListBullet"/>
      </w:pPr>
      <w:r>
        <w:t>Sale to a PropTech/CRM/CLM platform.</w:t>
      </w:r>
    </w:p>
    <w:p>
      <w:pPr>
        <w:pStyle w:val="ListBullet"/>
      </w:pPr>
      <w:r>
        <w:t>Sale to a developer sales platform or regional real estate network.</w:t>
      </w:r>
    </w:p>
    <w:p>
      <w:pPr>
        <w:pStyle w:val="ListBullet"/>
      </w:pPr>
      <w:r>
        <w:t>Long-term cash-flow/dividend business.</w:t>
      </w:r>
    </w:p>
    <w:p>
      <w:pPr>
        <w:pStyle w:val="Heading1"/>
      </w:pPr>
      <w:r>
        <w:t>18. Strategic conclusion</w:t>
      </w:r>
    </w:p>
    <w:p>
      <w:r>
        <w:t>This is realistic because the target is not hypergrowth. By Year 5, the plan only assumes five branded franchises, twenty white-label agencies, and fifteen developer projects. The business creates a scalable NewCo while also improving Dproperty’s current operations, protecting Private Collection inventory, and opening a path toward franchise expansion.</w:t>
      </w:r>
    </w:p>
    <w:p>
      <w:pPr>
        <w:pStyle w:val="Heading1"/>
      </w:pPr>
      <w:r>
        <w:t>References</w:t>
      </w:r>
    </w:p>
    <w:p>
      <w:pPr>
        <w:pStyle w:val="ListBullet"/>
      </w:pPr>
      <w:r>
        <w:t>Real estate software market: Coherent Market Insights estimates the global real estate software market at USD 15.60B in 2026, reaching USD 39.49B by 2033 at 14.2% CAGR. Source: https://www.coherentmarketinsights.com/industry-reports/real-estate-software-market</w:t>
      </w:r>
    </w:p>
    <w:p>
      <w:pPr>
        <w:pStyle w:val="ListBullet"/>
      </w:pPr>
      <w:r>
        <w:t>PropTech market: Fortune Business Insights projects the global PropTech market to grow from USD 44.59B in 2026 to USD 104.57B by 2034 at 11.20% CAGR. Source: https://www.fortunebusinessinsights.com/proptech-market-108634</w:t>
      </w:r>
    </w:p>
    <w:p>
      <w:pPr>
        <w:pStyle w:val="ListBullet"/>
      </w:pPr>
      <w:r>
        <w:t>Latin America residential real estate: Mordor Intelligence estimates Latin America residential real estate at USD 256.23B in 2026, reaching USD 333.37B by 2031. Source: https://www.mordorintelligence.com/industry-reports/residential-real-estate-market-in-latin-america</w:t>
      </w:r>
    </w:p>
    <w:p>
      <w:pPr>
        <w:pStyle w:val="ListBullet"/>
      </w:pPr>
      <w:r>
        <w:t>Panama commission benchmark: Panama real estate sources commonly cite 5% as the standard sales commission; some rural or complex properties can be higher. Source: https://www.panama-real-estate.com/article/selling-your-property-in-panama/</w:t>
      </w:r>
    </w:p>
    <w:p>
      <w:pPr>
        <w:pStyle w:val="ListBullet"/>
      </w:pPr>
      <w:r>
        <w:t>Panama commission benchmark 2: Panama Casa Realty cites 5% of gross selling price as a standard commission and up to 10% in countryside cases. Source: https://www.panamacasarealty.com/en/article/selling-your-property-in-panama</w:t>
      </w:r>
    </w:p>
    <w:p>
      <w:pPr>
        <w:pStyle w:val="ListBullet"/>
      </w:pPr>
      <w:r>
        <w:t>GoHighLevel pricing: GoHighLevel's Pro/SaaS Mode plan is listed at USD 497/month before usage-based costs. Source: https://www.gohighlevel.com/pricing</w:t>
      </w:r>
    </w:p>
    <w:p>
      <w:pPr>
        <w:pStyle w:val="ListBullet"/>
      </w:pPr>
      <w:r>
        <w:t>Engel &amp; Völkers franchise benchmark: Engel &amp; Völkers Germany lists an initial franchise fee of EUR 42,500, average total investment of EUR 250k-400k, and 12.5% royalty on net commission income. Source: https://www.engelvoelkers.com/de/en/resources/your-ideal-franchisor-in-the-real-estate-sector</w:t>
      </w:r>
    </w:p>
    <w:p>
      <w:pPr>
        <w:pStyle w:val="ListBullet"/>
      </w:pPr>
      <w:r>
        <w:t>Engel &amp; Völkers US benchmark: Franchise Direct lists Engel &amp; Völkers ongoing royalties at 6% of annual gross revenues up to USD 1M, with minimum annual royalty language. Source: https://www.franchisedirect.com/realestatefranchises/engel-volkers-franchise-05558/ufoc/</w:t>
      </w:r>
    </w:p>
    <w:p>
      <w:pPr>
        <w:pStyle w:val="ListBullet"/>
      </w:pPr>
      <w:r>
        <w:t>Follow Up Boss pricing: Follow Up Boss real estate CRM pricing starts at USD 69/user/month. Source: https://www.followupboss.com/pricing</w:t>
      </w:r>
    </w:p>
    <w:p>
      <w:pPr>
        <w:pStyle w:val="ListBullet"/>
      </w:pPr>
      <w:r>
        <w:t>BoomTown pricing benchmark: Software Advice lists BoomTown starting at USD 1,000/month in its comparison dataset. Source: https://www.softwareadvice.com/crm/boomtown-profile/vs/follow-up-boss/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4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