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Dproperty OS &amp; Network — Conversation Summary</w:t>
      </w:r>
    </w:p>
    <w:p>
      <w:r>
        <w:rPr>
          <w:color w:val="505050"/>
          <w:sz w:val="22"/>
        </w:rPr>
        <w:t>Prepared as a structured internal venture proposal for Dproperty.</w:t>
      </w:r>
    </w:p>
    <w:p/>
    <w:p>
      <w:pPr>
        <w:pStyle w:val="Heading1"/>
      </w:pPr>
      <w:r>
        <w:t>Executive summary</w:t>
      </w:r>
    </w:p>
    <w:p>
      <w:r>
        <w:t>Dproperty should evolve from a boutique real estate agency into a scalable operating platform with three connected commercial routes: **Dproperty-branded franchises**, **white-label operating systems for boutique agencies**, and **Developer Sales OS** for developers that need sales process, training, broker coordination, and project sales infrastructure.</w:t>
      </w:r>
    </w:p>
    <w:p>
      <w:r>
        <w:t>The most important strategic shift is that Dproperty OS is not just software. It is the container for the Dproperty method: workflows, documents, broker agreements, projections, training, project data, quality control, dashboards, and access to curated inventory.</w:t>
      </w:r>
    </w:p>
    <w:p>
      <w:pPr>
        <w:pStyle w:val="Heading1"/>
      </w:pPr>
      <w:r>
        <w:t>Agreed strategic architecture</w:t>
      </w:r>
    </w:p>
    <w:p>
      <w:r>
        <w:t>1. **Dproperty-branded franchise** — operators use the Dproperty brand, Dproperty OS, training, standards, Private Collection access, and HQ support.</w:t>
      </w:r>
    </w:p>
    <w:p>
      <w:r>
        <w:t>2. **White-label OS** — boutique agencies keep their own brand but license the system and methodology.</w:t>
      </w:r>
    </w:p>
    <w:p>
      <w:r>
        <w:t>3. **Developer Sales OS** — developers use Dproperty to train, systemize, monitor, and partially or fully run their project sales operation.</w:t>
      </w:r>
    </w:p>
    <w:p>
      <w:r>
        <w:t>4. **Dproperty Private Collection** — premium HQ-managed inventory, including Panama projects and future curated investment projects, remains controlled by HQ and is monetized through a 50/50 commission split when sold by franchises.</w:t>
      </w:r>
    </w:p>
    <w:p>
      <w:r>
        <w:t>5. **GoHighLevel** — optional marketing/CRM front-office layer passed through at cost. Dproperty OS remains the execution/document/projection/governance layer.</w:t>
      </w:r>
    </w:p>
    <w:p>
      <w:pPr>
        <w:pStyle w:val="Heading1"/>
      </w:pPr>
      <w:r>
        <w:t>Agreed pricing logic</w:t>
      </w:r>
    </w:p>
    <w:p>
      <w:pPr>
        <w:pStyle w:val="Heading2"/>
      </w:pPr>
      <w:r>
        <w:t>Branded franchise</w:t>
      </w:r>
    </w:p>
    <w:p>
      <w:pPr>
        <w:pStyle w:val="ListBullet"/>
      </w:pPr>
      <w:r>
        <w:t>Initial launch fee: $15,000.</w:t>
      </w:r>
    </w:p>
    <w:p>
      <w:pPr>
        <w:pStyle w:val="ListBullet"/>
      </w:pPr>
      <w:r>
        <w:t>OS fee: $1,000/month.</w:t>
      </w:r>
    </w:p>
    <w:p>
      <w:pPr>
        <w:pStyle w:val="ListBullet"/>
      </w:pPr>
      <w:r>
        <w:t>Royalty on local gross commission income: 6%.</w:t>
      </w:r>
    </w:p>
    <w:p>
      <w:pPr>
        <w:pStyle w:val="ListBullet"/>
      </w:pPr>
      <w:r>
        <w:t>Brand/network marketing fee: 1.5%.</w:t>
      </w:r>
    </w:p>
    <w:p>
      <w:pPr>
        <w:pStyle w:val="ListBullet"/>
      </w:pPr>
      <w:r>
        <w:t>GoHighLevel: passed through at cost.</w:t>
      </w:r>
    </w:p>
    <w:p>
      <w:pPr>
        <w:pStyle w:val="ListBullet"/>
      </w:pPr>
      <w:r>
        <w:t>Dproperty Private Collection: 50/50 gross commission split between HQ and franchise, plus 3% royalty and 1% network fee on the franchise half.</w:t>
      </w:r>
    </w:p>
    <w:p>
      <w:pPr>
        <w:pStyle w:val="Heading2"/>
      </w:pPr>
      <w:r>
        <w:t>White-label OS</w:t>
      </w:r>
    </w:p>
    <w:p>
      <w:pPr>
        <w:pStyle w:val="ListBullet"/>
      </w:pPr>
      <w:r>
        <w:t>Starter: $10,000 setup + $1,500/month.</w:t>
      </w:r>
    </w:p>
    <w:p>
      <w:pPr>
        <w:pStyle w:val="ListBullet"/>
      </w:pPr>
      <w:r>
        <w:t>Growth: $20,000 setup + $2,500/month.</w:t>
      </w:r>
    </w:p>
    <w:p>
      <w:pPr>
        <w:pStyle w:val="ListBullet"/>
      </w:pPr>
      <w:r>
        <w:t>Enterprise: $50,000+ setup + $5,000+/month.</w:t>
      </w:r>
    </w:p>
    <w:p>
      <w:pPr>
        <w:pStyle w:val="ListBullet"/>
      </w:pPr>
      <w:r>
        <w:t>No automatic Private Collection access.</w:t>
      </w:r>
    </w:p>
    <w:p>
      <w:pPr>
        <w:pStyle w:val="Heading2"/>
      </w:pPr>
      <w:r>
        <w:t>Developer Sales OS</w:t>
      </w:r>
    </w:p>
    <w:p>
      <w:pPr>
        <w:pStyle w:val="ListBullet"/>
      </w:pPr>
      <w:r>
        <w:t>Developer team sales: 0.5% of gross sale value.</w:t>
      </w:r>
    </w:p>
    <w:p>
      <w:pPr>
        <w:pStyle w:val="ListBullet"/>
      </w:pPr>
      <w:r>
        <w:t>Dproperty/network-sourced sales: 2.5%–3% of gross sale value.</w:t>
      </w:r>
    </w:p>
    <w:p>
      <w:pPr>
        <w:pStyle w:val="ListBullet"/>
      </w:pPr>
      <w:r>
        <w:t>Managed Sales Desk: $3,000–$5,000/month minimum, creditable against success fees.</w:t>
      </w:r>
    </w:p>
    <w:p>
      <w:pPr>
        <w:pStyle w:val="Heading1"/>
      </w:pPr>
      <w:r>
        <w:t>Updated five-year target</w:t>
      </w:r>
    </w:p>
    <w:p>
      <w:r>
        <w:t>The realistic five-year target is conservative:</w:t>
      </w:r>
    </w:p>
    <w:p>
      <w:pPr>
        <w:pStyle w:val="ListBullet"/>
      </w:pPr>
      <w:r>
        <w:t>5 branded franchises in Latin America.</w:t>
      </w:r>
    </w:p>
    <w:p>
      <w:pPr>
        <w:pStyle w:val="ListBullet"/>
      </w:pPr>
      <w:r>
        <w:t>20 white-label agencies.</w:t>
      </w:r>
    </w:p>
    <w:p>
      <w:pPr>
        <w:pStyle w:val="ListBullet"/>
      </w:pPr>
      <w:r>
        <w:t>15 developer partnerships/projects.</w:t>
      </w:r>
    </w:p>
    <w:p>
      <w:pPr>
        <w:pStyle w:val="Heading1"/>
      </w:pPr>
      <w:r>
        <w:t>Financial base-case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0F2437"/>
          </w:tcPr>
          <w:p>
            <w:r>
              <w:rPr>
                <w:b/>
                <w:color w:val="FFFFFF"/>
                <w:sz w:val="17"/>
              </w:rPr>
              <w:t>Year</w:t>
            </w:r>
          </w:p>
        </w:tc>
        <w:tc>
          <w:tcPr>
            <w:tcW w:type="dxa" w:w="1704"/>
            <w:shd w:fill="0F2437"/>
          </w:tcPr>
          <w:p>
            <w:r>
              <w:rPr>
                <w:b/>
                <w:color w:val="FFFFFF"/>
                <w:sz w:val="17"/>
              </w:rPr>
              <w:t>Branded franchises EOY</w:t>
            </w:r>
          </w:p>
        </w:tc>
        <w:tc>
          <w:tcPr>
            <w:tcW w:type="dxa" w:w="1704"/>
            <w:shd w:fill="0F2437"/>
          </w:tcPr>
          <w:p>
            <w:r>
              <w:rPr>
                <w:b/>
                <w:color w:val="FFFFFF"/>
                <w:sz w:val="17"/>
              </w:rPr>
              <w:t>White-label agencies EOY</w:t>
            </w:r>
          </w:p>
        </w:tc>
        <w:tc>
          <w:tcPr>
            <w:tcW w:type="dxa" w:w="1704"/>
            <w:shd w:fill="0F2437"/>
          </w:tcPr>
          <w:p>
            <w:r>
              <w:rPr>
                <w:b/>
                <w:color w:val="FFFFFF"/>
                <w:sz w:val="17"/>
              </w:rPr>
              <w:t>Developer projects/year</w:t>
            </w:r>
          </w:p>
        </w:tc>
        <w:tc>
          <w:tcPr>
            <w:tcW w:type="dxa" w:w="1704"/>
            <w:shd w:fill="0F2437"/>
          </w:tcPr>
          <w:p>
            <w:r>
              <w:rPr>
                <w:b/>
                <w:color w:val="FFFFFF"/>
                <w:sz w:val="17"/>
              </w:rPr>
              <w:t>Revenue</w:t>
            </w:r>
          </w:p>
        </w:tc>
        <w:tc>
          <w:tcPr>
            <w:tcW w:type="dxa" w:w="1704"/>
            <w:shd w:fill="0F2437"/>
          </w:tcPr>
          <w:p>
            <w:r>
              <w:rPr>
                <w:b/>
                <w:color w:val="FFFFFF"/>
                <w:sz w:val="17"/>
              </w:rPr>
              <w:t>EBITDA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7"/>
              </w:rPr>
              <w:t>$128,000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7"/>
              </w:rPr>
              <w:t>($347,000)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7"/>
              </w:rPr>
              <w:t>$463,000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7"/>
              </w:rPr>
              <w:t>($114,750)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7"/>
              </w:rPr>
              <w:t>$960,000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7"/>
              </w:rPr>
              <w:t>$98,250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7"/>
              </w:rPr>
              <w:t>$1,545,000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7"/>
              </w:rPr>
              <w:t>$314,250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7"/>
              </w:rPr>
              <w:t>$2,320,000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7"/>
              </w:rPr>
              <w:t>$634,750</w:t>
            </w:r>
          </w:p>
        </w:tc>
      </w:tr>
    </w:tbl>
    <w:p/>
    <w:p>
      <w:r>
        <w:t>The venture becomes EBITDA-positive in Year 3 because Years 1–2 carry upfront platform, legal, training, implementation, and venture-lead costs before enough recurring and success-based revenue exists.</w:t>
      </w:r>
    </w:p>
    <w:p>
      <w:pPr>
        <w:pStyle w:val="Heading1"/>
      </w:pPr>
      <w:r>
        <w:t>Internal funding need</w:t>
      </w:r>
    </w:p>
    <w:p>
      <w:pPr>
        <w:pStyle w:val="ListBullet"/>
      </w:pPr>
      <w:r>
        <w:t>Recommended internal venture budget: $650,000 over 24 months.</w:t>
      </w:r>
    </w:p>
    <w:p>
      <w:pPr>
        <w:pStyle w:val="ListBullet"/>
      </w:pPr>
      <w:r>
        <w:t>Structure: $350,000 first tranche, $300,000 second tranche after pilot milestones.</w:t>
      </w:r>
    </w:p>
    <w:p>
      <w:pPr>
        <w:pStyle w:val="ListBullet"/>
      </w:pPr>
      <w:r>
        <w:t>This is not an outside VC round. The two existing Dproperty owners fund the NewCo internally.</w:t>
      </w:r>
    </w:p>
    <w:p>
      <w:pPr>
        <w:pStyle w:val="Heading1"/>
      </w:pPr>
      <w:r>
        <w:t>Proposed NewCo logic</w:t>
      </w:r>
    </w:p>
    <w:p>
      <w:r>
        <w:t>The new entity could be called **Dproperty OS &amp; Network**. It would own the platform, training academy, white-label product, franchise operating system, Developer Sales OS, and templates/manuals created for the new venture. Existing Dproperty owners would keep the existing business and would fund/control the NewCo.</w:t>
      </w:r>
    </w:p>
    <w:p>
      <w:pPr>
        <w:pStyle w:val="Heading1"/>
      </w:pPr>
      <w:r>
        <w:t>Founder/operator compensation discussion</w:t>
      </w:r>
    </w:p>
    <w:p>
      <w:r>
        <w:t>The proposed personal package discussed privately:</w:t>
      </w:r>
    </w:p>
    <w:p>
      <w:pPr>
        <w:pStyle w:val="ListBullet"/>
      </w:pPr>
      <w:r>
        <w:t>Role: Co-founder &amp; Venture Lead / Founding Product &amp; Strategy Lead.</w:t>
      </w:r>
    </w:p>
    <w:p>
      <w:pPr>
        <w:pStyle w:val="ListBullet"/>
      </w:pPr>
      <w:r>
        <w:t>Salary: €5,000/month as operating cost.</w:t>
      </w:r>
    </w:p>
    <w:p>
      <w:pPr>
        <w:pStyle w:val="ListBullet"/>
      </w:pPr>
      <w:r>
        <w:t>Equity: 15% vesting equity in the NewCo, or 10% guaranteed + 5% milestone-based.</w:t>
      </w:r>
    </w:p>
    <w:p>
      <w:pPr>
        <w:pStyle w:val="ListBullet"/>
      </w:pPr>
      <w:r>
        <w:t>Salary step-ups tied to revenue/EBITDA milestones.</w:t>
      </w:r>
    </w:p>
    <w:p>
      <w:pPr>
        <w:pStyle w:val="ListBullet"/>
      </w:pPr>
      <w:r>
        <w:t>Optional performance bonus on first-year revenue originated personally.</w:t>
      </w:r>
    </w:p>
    <w:p>
      <w:pPr>
        <w:pStyle w:val="ListBullet"/>
      </w:pPr>
      <w:r>
        <w:t>Dividend policy once the company is profitable and adequately reserved.</w:t>
      </w:r>
    </w:p>
    <w:p>
      <w:pPr>
        <w:pStyle w:val="ListBullet"/>
      </w:pPr>
      <w:r>
        <w:t>Protection clauses: vesting, acceleration on termination without cause, change-of-control acceleration, buyback mechanism.</w:t>
      </w:r>
    </w:p>
    <w:p>
      <w:pPr>
        <w:pStyle w:val="Heading1"/>
      </w:pPr>
      <w:r>
        <w:t>Main conclusion</w:t>
      </w:r>
    </w:p>
    <w:p>
      <w:r>
        <w:t>The business is realistic if pitched as an internal venture that strengthens Dproperty’s current operations while creating new recurring and commission-linked revenue. The proposal is credible because it does not depend on hypergrowth: only five franchises, twenty white-label agencies, and fifteen developer projects by Year 5.</w:t>
      </w:r>
    </w:p>
    <w:p>
      <w:pPr>
        <w:pStyle w:val="Heading1"/>
      </w:pPr>
      <w:r>
        <w:t>References and market-source notes</w:t>
      </w:r>
    </w:p>
    <w:p>
      <w:pPr>
        <w:pStyle w:val="ListNumber"/>
      </w:pPr>
      <w:r>
        <w:rPr>
          <w:b/>
        </w:rPr>
        <w:t xml:space="preserve">Real estate software market: </w:t>
      </w:r>
      <w:r>
        <w:t>Coherent Market Insights estimates the global real estate software market at USD 15.60B in 2026, reaching USD 39.49B by 2033 at 14.2% CAGR. Source: https://www.coherentmarketinsights.com/industry-reports/real-estate-software-market</w:t>
      </w:r>
    </w:p>
    <w:p>
      <w:pPr>
        <w:pStyle w:val="ListNumber"/>
      </w:pPr>
      <w:r>
        <w:rPr>
          <w:b/>
        </w:rPr>
        <w:t xml:space="preserve">PropTech market: </w:t>
      </w:r>
      <w:r>
        <w:t>Fortune Business Insights projects the global PropTech market to grow from USD 44.59B in 2026 to USD 104.57B by 2034 at 11.20% CAGR. Source: https://www.fortunebusinessinsights.com/proptech-market-108634</w:t>
      </w:r>
    </w:p>
    <w:p>
      <w:pPr>
        <w:pStyle w:val="ListNumber"/>
      </w:pPr>
      <w:r>
        <w:rPr>
          <w:b/>
        </w:rPr>
        <w:t xml:space="preserve">Latin America residential real estate: </w:t>
      </w:r>
      <w:r>
        <w:t>Mordor Intelligence estimates Latin America residential real estate at USD 256.23B in 2026, reaching USD 333.37B by 2031. Source: https://www.mordorintelligence.com/industry-reports/residential-real-estate-market-in-latin-america</w:t>
      </w:r>
    </w:p>
    <w:p>
      <w:pPr>
        <w:pStyle w:val="ListNumber"/>
      </w:pPr>
      <w:r>
        <w:rPr>
          <w:b/>
        </w:rPr>
        <w:t xml:space="preserve">Panama commission benchmark: </w:t>
      </w:r>
      <w:r>
        <w:t>Panama real estate sources commonly cite 5% as the standard sales commission; some rural or complex properties can be higher. Source: https://www.panama-real-estate.com/article/selling-your-property-in-panama/</w:t>
      </w:r>
    </w:p>
    <w:p>
      <w:pPr>
        <w:pStyle w:val="ListNumber"/>
      </w:pPr>
      <w:r>
        <w:rPr>
          <w:b/>
        </w:rPr>
        <w:t xml:space="preserve">Panama commission benchmark 2: </w:t>
      </w:r>
      <w:r>
        <w:t>Panama Casa Realty cites 5% of gross selling price as a standard commission and up to 10% in countryside cases. Source: https://www.panamacasarealty.com/en/article/selling-your-property-in-panama</w:t>
      </w:r>
    </w:p>
    <w:p>
      <w:pPr>
        <w:pStyle w:val="ListNumber"/>
      </w:pPr>
      <w:r>
        <w:rPr>
          <w:b/>
        </w:rPr>
        <w:t xml:space="preserve">GoHighLevel pricing: </w:t>
      </w:r>
      <w:r>
        <w:t>GoHighLevel's Pro/SaaS Mode plan is listed at USD 497/month before usage-based costs. Source: https://www.gohighlevel.com/pricing</w:t>
      </w:r>
    </w:p>
    <w:p>
      <w:pPr>
        <w:pStyle w:val="ListNumber"/>
      </w:pPr>
      <w:r>
        <w:rPr>
          <w:b/>
        </w:rPr>
        <w:t xml:space="preserve">Engel &amp; Völkers franchise benchmark: </w:t>
      </w:r>
      <w:r>
        <w:t>Engel &amp; Völkers Germany lists an initial franchise fee of EUR 42,500, average total investment of EUR 250k-400k, and 12.5% royalty on net commission income. Source: https://www.engelvoelkers.com/de/en/resources/your-ideal-franchisor-in-the-real-estate-sector</w:t>
      </w:r>
    </w:p>
    <w:p>
      <w:pPr>
        <w:pStyle w:val="ListNumber"/>
      </w:pPr>
      <w:r>
        <w:rPr>
          <w:b/>
        </w:rPr>
        <w:t xml:space="preserve">Engel &amp; Völkers US benchmark: </w:t>
      </w:r>
      <w:r>
        <w:t>Franchise Direct lists Engel &amp; Völkers ongoing royalties at 6% of annual gross revenues up to USD 1M, with minimum annual royalty language. Source: https://www.franchisedirect.com/realestatefranchises/engel-volkers-franchise-05558/ufoc/</w:t>
      </w:r>
    </w:p>
    <w:p>
      <w:pPr>
        <w:pStyle w:val="ListNumber"/>
      </w:pPr>
      <w:r>
        <w:rPr>
          <w:b/>
        </w:rPr>
        <w:t xml:space="preserve">Follow Up Boss pricing: </w:t>
      </w:r>
      <w:r>
        <w:t>Follow Up Boss real estate CRM pricing starts at USD 69/user/month. Source: https://www.followupboss.com/pricing</w:t>
      </w:r>
    </w:p>
    <w:p>
      <w:pPr>
        <w:pStyle w:val="ListNumber"/>
      </w:pPr>
      <w:r>
        <w:rPr>
          <w:b/>
        </w:rPr>
        <w:t xml:space="preserve">BoomTown pricing benchmark: </w:t>
      </w:r>
      <w:r>
        <w:t>Software Advice lists BoomTown starting at USD 1,000/month in its comparison dataset. Source: https://www.softwareadvice.com/crm/boomtown-profile/vs/follow-up-boss/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243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1111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