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65A82"/>
          <w:sz w:val="96"/>
        </w:rPr>
        <w:t>ATLAS Pro</w:t>
      </w:r>
    </w:p>
    <w:p>
      <w:pPr>
        <w:jc w:val="center"/>
      </w:pPr>
      <w:r>
        <w:rPr>
          <w:sz w:val="32"/>
        </w:rPr>
        <w:t>Sistema Inteligente de Control de Tráfico con IA</w:t>
      </w:r>
    </w:p>
    <w:p>
      <w:pPr>
        <w:jc w:val="center"/>
      </w:pPr>
      <w:r>
        <w:rPr>
          <w:i/>
          <w:sz w:val="28"/>
        </w:rPr>
        <w:t>Plan Ejecutivo Comercial</w:t>
      </w:r>
    </w:p>
    <w:p/>
    <w:p/>
    <w:p/>
    <w:p>
      <w:pPr>
        <w:jc w:val="center"/>
      </w:pPr>
      <w:r>
        <w:rPr>
          <w:sz w:val="24"/>
        </w:rPr>
        <w:t>Febrero 2026</w:t>
      </w:r>
    </w:p>
    <w:p/>
    <w:p>
      <w:pPr>
        <w:jc w:val="center"/>
      </w:pPr>
      <w:r>
        <w:rPr>
          <w:sz w:val="24"/>
        </w:rPr>
        <w:t>Esteban Marco</w:t>
      </w:r>
    </w:p>
    <w:p>
      <w:pPr>
        <w:jc w:val="center"/>
      </w:pPr>
      <w:r>
        <w:rPr>
          <w:color w:val="065A82"/>
          <w:sz w:val="22"/>
        </w:rPr>
        <w:t>esteban3marco@gmail.com</w:t>
      </w:r>
    </w:p>
    <w:p>
      <w:r>
        <w:br w:type="page"/>
      </w:r>
    </w:p>
    <w:p>
      <w:pPr>
        <w:jc w:val="center"/>
      </w:pPr>
      <w:r>
        <w:rPr>
          <w:b/>
          <w:color w:val="065A82"/>
          <w:sz w:val="32"/>
        </w:rPr>
        <w:t>ÍNDICE DE CONTENIDOS</w:t>
      </w:r>
    </w:p>
    <w:p>
      <w:pPr>
        <w:spacing w:after="80"/>
        <w:ind w:left="360"/>
      </w:pPr>
      <w:r>
        <w:rPr>
          <w:sz w:val="22"/>
        </w:rPr>
        <w:t>1. Resumen Ejecutivo</w:t>
      </w:r>
    </w:p>
    <w:p>
      <w:pPr>
        <w:spacing w:after="80"/>
        <w:ind w:left="360"/>
      </w:pPr>
      <w:r>
        <w:rPr>
          <w:sz w:val="22"/>
        </w:rPr>
        <w:t>2. Descripción del Producto</w:t>
      </w:r>
    </w:p>
    <w:p>
      <w:pPr>
        <w:spacing w:after="80"/>
        <w:ind w:left="360"/>
      </w:pPr>
      <w:r>
        <w:rPr>
          <w:sz w:val="22"/>
        </w:rPr>
        <w:t>3. Mercado Objetivo y Segmentación</w:t>
      </w:r>
    </w:p>
    <w:p>
      <w:pPr>
        <w:spacing w:after="80"/>
        <w:ind w:left="360"/>
      </w:pPr>
      <w:r>
        <w:rPr>
          <w:sz w:val="22"/>
        </w:rPr>
        <w:t>4. Modelo de Negocio</w:t>
      </w:r>
    </w:p>
    <w:p>
      <w:pPr>
        <w:spacing w:after="80"/>
        <w:ind w:left="360"/>
      </w:pPr>
      <w:r>
        <w:rPr>
          <w:sz w:val="22"/>
        </w:rPr>
        <w:t>5. Estrategia de Ventas y Distribución</w:t>
      </w:r>
    </w:p>
    <w:p>
      <w:pPr>
        <w:spacing w:after="80"/>
        <w:ind w:left="360"/>
      </w:pPr>
      <w:r>
        <w:rPr>
          <w:sz w:val="22"/>
        </w:rPr>
        <w:t>6. Plan de Acción – 12 Meses</w:t>
      </w:r>
    </w:p>
    <w:p>
      <w:pPr>
        <w:spacing w:after="80"/>
        <w:ind w:left="360"/>
      </w:pPr>
      <w:r>
        <w:rPr>
          <w:sz w:val="22"/>
        </w:rPr>
        <w:t>7. Proyecciones Financieras</w:t>
      </w:r>
    </w:p>
    <w:p>
      <w:pPr>
        <w:spacing w:after="80"/>
        <w:ind w:left="360"/>
      </w:pPr>
      <w:r>
        <w:rPr>
          <w:sz w:val="22"/>
        </w:rPr>
        <w:t>8. Ventaja Competitiva</w:t>
      </w:r>
    </w:p>
    <w:p>
      <w:pPr>
        <w:spacing w:after="80"/>
        <w:ind w:left="360"/>
      </w:pPr>
      <w:r>
        <w:rPr>
          <w:sz w:val="22"/>
        </w:rPr>
        <w:t>9. Equipo y Contacto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065A82"/>
          <w:sz w:val="36"/>
        </w:rPr>
        <w:t>1. RESUMEN EJECUTIVO</w:t>
      </w:r>
    </w:p>
    <w:p>
      <w:pPr>
        <w:spacing w:line="240" w:lineRule="auto" w:after="120"/>
        <w:jc w:val="both"/>
      </w:pPr>
      <w:r>
        <w:rPr>
          <w:sz w:val="22"/>
        </w:rPr>
        <w:t>ATLAS Pro es una solución revolucionaria de control de tráfico basada en inteligencia artificial y aprendizaje por refuerzo profundo (Deep Reinforcement Learning). Utilizando arquitecturas avanzadas como Dueling DDQN y coordinación multi-agente QMIX, ATLAS Pro optimiza el flujo vehicular en tiempo real, reduciendo congestión, emisiones y tiempos de espera en intersecciones urbanas.</w:t>
      </w:r>
    </w:p>
    <w:p>
      <w:pPr>
        <w:spacing w:line="240" w:lineRule="auto" w:after="120"/>
        <w:jc w:val="both"/>
      </w:pPr>
      <w:r>
        <w:rPr>
          <w:sz w:val="22"/>
        </w:rPr>
        <w:t>Nuestro sistema integra metacognición MUSE, detección de anomalías, validación de modelos y edge deployment mediante ONNX, permitiendo despliegues locales sin dependencia de internet. Compatible con estándares NTCIP y UTMC, ATLAS Pro se integra perfectamente con infraestructuras inteligentes existentes.</w:t>
      </w:r>
    </w:p>
    <w:p>
      <w:pPr>
        <w:pStyle w:val="Heading2"/>
        <w:spacing w:before="200" w:after="80"/>
      </w:pPr>
      <w:r>
        <w:rPr>
          <w:b/>
          <w:color w:val="065A82"/>
          <w:sz w:val="28"/>
        </w:rPr>
        <w:t>Propuesta de Valor</w:t>
      </w:r>
    </w:p>
    <w:p>
      <w:pPr>
        <w:pStyle w:val="ListBullet"/>
        <w:spacing w:after="60"/>
        <w:ind w:left="720"/>
      </w:pPr>
      <w:r>
        <w:rPr>
          <w:sz w:val="22"/>
        </w:rPr>
        <w:t>Reducción de congestión: -25% a -35% en tiempo de espera promedio</w:t>
      </w:r>
    </w:p>
    <w:p>
      <w:pPr>
        <w:pStyle w:val="ListBullet"/>
        <w:spacing w:after="60"/>
        <w:ind w:left="720"/>
      </w:pPr>
      <w:r>
        <w:rPr>
          <w:sz w:val="22"/>
        </w:rPr>
        <w:t>Optimización de combustible y emisiones: -15% a -22% reducción de CO₂</w:t>
      </w:r>
    </w:p>
    <w:p>
      <w:pPr>
        <w:pStyle w:val="ListBullet"/>
        <w:spacing w:after="60"/>
        <w:ind w:left="720"/>
      </w:pPr>
      <w:r>
        <w:rPr>
          <w:sz w:val="22"/>
        </w:rPr>
        <w:t>ROI rápido: amortización en 12-18 meses</w:t>
      </w:r>
    </w:p>
    <w:p>
      <w:pPr>
        <w:pStyle w:val="ListBullet"/>
        <w:spacing w:after="60"/>
        <w:ind w:left="720"/>
      </w:pPr>
      <w:r>
        <w:rPr>
          <w:sz w:val="22"/>
        </w:rPr>
        <w:t>Despliegue rápido sin infraestructura pesada</w:t>
      </w:r>
    </w:p>
    <w:p>
      <w:pPr>
        <w:pStyle w:val="ListBullet"/>
        <w:spacing w:after="60"/>
        <w:ind w:left="720"/>
      </w:pPr>
      <w:r>
        <w:rPr>
          <w:sz w:val="22"/>
        </w:rPr>
        <w:t>Compatible con hardware existente: Jetson Nano, Jetson Orin, sistemas locales</w:t>
      </w:r>
    </w:p>
    <w:p>
      <w:pPr>
        <w:pStyle w:val="ListBullet"/>
        <w:spacing w:after="60"/>
        <w:ind w:left="720"/>
      </w:pPr>
      <w:r>
        <w:rPr>
          <w:sz w:val="22"/>
        </w:rPr>
        <w:t>Sin dependencia de nube: control local y privacidad de datos</w:t>
      </w:r>
    </w:p>
    <w:p>
      <w:pPr>
        <w:pStyle w:val="ListBullet"/>
        <w:spacing w:after="60"/>
        <w:ind w:left="720"/>
      </w:pPr>
      <w:r>
        <w:rPr>
          <w:sz w:val="22"/>
        </w:rPr>
        <w:t>Escalabilidad: desde 1 intersección hasta 500+ con un único servidor</w:t>
      </w:r>
    </w:p>
    <w:p>
      <w:pPr>
        <w:pStyle w:val="Heading2"/>
        <w:spacing w:before="200" w:after="80"/>
      </w:pPr>
      <w:r>
        <w:rPr>
          <w:b/>
          <w:color w:val="065A82"/>
          <w:sz w:val="28"/>
        </w:rPr>
        <w:t>Métricas Clave</w:t>
      </w:r>
    </w:p>
    <w:p>
      <w:pPr>
        <w:pStyle w:val="ListBullet"/>
        <w:spacing w:after="60"/>
        <w:ind w:left="720"/>
      </w:pPr>
      <w:r>
        <w:rPr>
          <w:sz w:val="22"/>
        </w:rPr>
        <w:t>Mercado TAM: €2.4B anuales en Latinoamérica, España, Portugal</w:t>
      </w:r>
    </w:p>
    <w:p>
      <w:pPr>
        <w:pStyle w:val="ListBullet"/>
        <w:spacing w:after="60"/>
        <w:ind w:left="720"/>
      </w:pPr>
      <w:r>
        <w:rPr>
          <w:sz w:val="22"/>
        </w:rPr>
        <w:t>SAM inicial: €180M en ciudades medianas (50K-500K habitantes)</w:t>
      </w:r>
    </w:p>
    <w:p>
      <w:pPr>
        <w:pStyle w:val="ListBullet"/>
        <w:spacing w:after="60"/>
        <w:ind w:left="720"/>
      </w:pPr>
      <w:r>
        <w:rPr>
          <w:sz w:val="22"/>
        </w:rPr>
        <w:t>Proyección Año 1: €180K ARR (200 intersecciones)</w:t>
      </w:r>
    </w:p>
    <w:p>
      <w:pPr>
        <w:pStyle w:val="ListBullet"/>
        <w:spacing w:after="60"/>
        <w:ind w:left="720"/>
      </w:pPr>
      <w:r>
        <w:rPr>
          <w:sz w:val="22"/>
        </w:rPr>
        <w:t>Proyección Año 3: €2.1M ARR (2,400 intersecciones)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065A82"/>
          <w:sz w:val="36"/>
        </w:rPr>
        <w:t>2. DESCRIPCIÓN DEL PRODUCTO</w:t>
      </w:r>
    </w:p>
    <w:p>
      <w:pPr>
        <w:pStyle w:val="Heading2"/>
        <w:spacing w:before="200" w:after="80"/>
      </w:pPr>
      <w:r>
        <w:rPr>
          <w:b/>
          <w:color w:val="065A82"/>
          <w:sz w:val="28"/>
        </w:rPr>
        <w:t>Arquitectura Técnica</w:t>
      </w:r>
    </w:p>
    <w:p>
      <w:pPr>
        <w:spacing w:line="240" w:lineRule="auto" w:after="120"/>
        <w:jc w:val="both"/>
      </w:pPr>
      <w:r>
        <w:rPr>
          <w:sz w:val="22"/>
        </w:rPr>
        <w:t>ATLAS Pro implementa un stack de IA de última generación:</w:t>
      </w:r>
    </w:p>
    <w:p>
      <w:pPr>
        <w:pStyle w:val="ListBullet"/>
        <w:spacing w:after="60"/>
        <w:ind w:left="720"/>
      </w:pPr>
      <w:r>
        <w:rPr>
          <w:sz w:val="22"/>
        </w:rPr>
        <w:t>Dueling Deep Q-Network (DDQN): Separación de streams de valor y ventaja para aprendizaje más estable</w:t>
      </w:r>
    </w:p>
    <w:p>
      <w:pPr>
        <w:pStyle w:val="ListBullet"/>
        <w:spacing w:after="60"/>
        <w:ind w:left="720"/>
      </w:pPr>
      <w:r>
        <w:rPr>
          <w:sz w:val="22"/>
        </w:rPr>
        <w:t>QMIX Multi-Agent Coordination: Coordinación descentralizada de múltiples intersecciones, permitiendo optimización global sin comunicación constante</w:t>
      </w:r>
    </w:p>
    <w:p>
      <w:pPr>
        <w:pStyle w:val="ListBullet"/>
        <w:spacing w:after="60"/>
        <w:ind w:left="720"/>
      </w:pPr>
      <w:r>
        <w:rPr>
          <w:sz w:val="22"/>
        </w:rPr>
        <w:t>MUSE Metacognition Engine: Sistema de automonitoreo que detecta sesgo, deriva conceptual y confiabilidad del modelo</w:t>
      </w:r>
    </w:p>
    <w:p>
      <w:pPr>
        <w:pStyle w:val="ListBullet"/>
        <w:spacing w:after="60"/>
        <w:ind w:left="720"/>
      </w:pPr>
      <w:r>
        <w:rPr>
          <w:sz w:val="22"/>
        </w:rPr>
        <w:t>Anomaly Detection: Identificación de eventos atípicos (accidentes, desfiles, bloqueos) en tiempo real</w:t>
      </w:r>
    </w:p>
    <w:p>
      <w:pPr>
        <w:pStyle w:val="ListBullet"/>
        <w:spacing w:after="60"/>
        <w:ind w:left="720"/>
      </w:pPr>
      <w:r>
        <w:rPr>
          <w:sz w:val="22"/>
        </w:rPr>
        <w:t>Model Validation: Validación continua contra múltiples métricas de rendimiento</w:t>
      </w:r>
    </w:p>
    <w:p>
      <w:pPr>
        <w:pStyle w:val="ListBullet"/>
        <w:spacing w:after="60"/>
        <w:ind w:left="720"/>
      </w:pPr>
      <w:r>
        <w:rPr>
          <w:sz w:val="22"/>
        </w:rPr>
        <w:t>ONNX Edge Runtime: Despliegue en edge sin dependencia de frameworks pesados</w:t>
      </w:r>
    </w:p>
    <w:p>
      <w:pPr>
        <w:pStyle w:val="Heading2"/>
        <w:spacing w:before="200" w:after="80"/>
      </w:pPr>
      <w:r>
        <w:rPr>
          <w:b/>
          <w:color w:val="065A82"/>
          <w:sz w:val="28"/>
        </w:rPr>
        <w:t>Capacidades Operacionales</w:t>
      </w:r>
    </w:p>
    <w:p>
      <w:pPr>
        <w:pStyle w:val="ListBullet"/>
        <w:spacing w:after="60"/>
        <w:ind w:left="720"/>
      </w:pPr>
      <w:r>
        <w:rPr>
          <w:sz w:val="22"/>
        </w:rPr>
        <w:t>Adaptive Green Wave: Sincronización dinámica de semáforos para flujo en cascada</w:t>
      </w:r>
    </w:p>
    <w:p>
      <w:pPr>
        <w:pStyle w:val="ListBullet"/>
        <w:spacing w:after="60"/>
        <w:ind w:left="720"/>
      </w:pPr>
      <w:r>
        <w:rPr>
          <w:sz w:val="22"/>
        </w:rPr>
        <w:t>Predicción de Demanda: Proyección de tráfico 5-15 minutos adelante</w:t>
      </w:r>
    </w:p>
    <w:p>
      <w:pPr>
        <w:pStyle w:val="ListBullet"/>
        <w:spacing w:after="60"/>
        <w:ind w:left="720"/>
      </w:pPr>
      <w:r>
        <w:rPr>
          <w:sz w:val="22"/>
        </w:rPr>
        <w:t>Evento Response: Adaptación automática ante accidentes, peatones, transporte público</w:t>
      </w:r>
    </w:p>
    <w:p>
      <w:pPr>
        <w:pStyle w:val="ListBullet"/>
        <w:spacing w:after="60"/>
        <w:ind w:left="720"/>
      </w:pPr>
      <w:r>
        <w:rPr>
          <w:sz w:val="22"/>
        </w:rPr>
        <w:t>Histórico de Datos: Análisis post-mortem de congestiones para mejora continua</w:t>
      </w:r>
    </w:p>
    <w:p>
      <w:pPr>
        <w:pStyle w:val="ListBullet"/>
        <w:spacing w:after="60"/>
        <w:ind w:left="720"/>
      </w:pPr>
      <w:r>
        <w:rPr>
          <w:sz w:val="22"/>
        </w:rPr>
        <w:t>Dashboard de Control: Visualización real-time de estado de intersecciones</w:t>
      </w:r>
    </w:p>
    <w:p>
      <w:pPr>
        <w:pStyle w:val="ListBullet"/>
        <w:spacing w:after="60"/>
        <w:ind w:left="720"/>
      </w:pPr>
      <w:r>
        <w:rPr>
          <w:sz w:val="22"/>
        </w:rPr>
        <w:t>API RESTful: Integración con terceros (Waze, Google Maps, TMC)</w:t>
      </w:r>
    </w:p>
    <w:p>
      <w:pPr>
        <w:pStyle w:val="Heading2"/>
        <w:spacing w:before="200" w:after="80"/>
      </w:pPr>
      <w:r>
        <w:rPr>
          <w:b/>
          <w:color w:val="065A82"/>
          <w:sz w:val="28"/>
        </w:rPr>
        <w:t>Estándares y Protocolos</w:t>
      </w:r>
    </w:p>
    <w:p>
      <w:pPr>
        <w:pStyle w:val="ListBullet"/>
        <w:spacing w:after="60"/>
        <w:ind w:left="720"/>
      </w:pPr>
      <w:r>
        <w:rPr>
          <w:sz w:val="22"/>
        </w:rPr>
        <w:t>NTCIP (National Transportation Communications for ITS Protocol): Compatible con ecosistema ITS global</w:t>
      </w:r>
    </w:p>
    <w:p>
      <w:pPr>
        <w:pStyle w:val="ListBullet"/>
        <w:spacing w:after="60"/>
        <w:ind w:left="720"/>
      </w:pPr>
      <w:r>
        <w:rPr>
          <w:sz w:val="22"/>
        </w:rPr>
        <w:t>UTMC (Urban Traffic Management Control): Cumplimiento de estándares europeos</w:t>
      </w:r>
    </w:p>
    <w:p>
      <w:pPr>
        <w:pStyle w:val="ListBullet"/>
        <w:spacing w:after="60"/>
        <w:ind w:left="720"/>
      </w:pPr>
      <w:r>
        <w:rPr>
          <w:sz w:val="22"/>
        </w:rPr>
        <w:t>MQTT: Comunicación ligera para dispositivos IoT</w:t>
      </w:r>
    </w:p>
    <w:p>
      <w:pPr>
        <w:pStyle w:val="ListBullet"/>
        <w:spacing w:after="60"/>
        <w:ind w:left="720"/>
      </w:pPr>
      <w:r>
        <w:rPr>
          <w:sz w:val="22"/>
        </w:rPr>
        <w:t>JSON API: Integración moderna con sistemas de terceros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065A82"/>
          <w:sz w:val="36"/>
        </w:rPr>
        <w:t>3. MERCADO OBJETIVO Y SEGMENTACIÓN</w:t>
      </w:r>
    </w:p>
    <w:p>
      <w:pPr>
        <w:pStyle w:val="Heading2"/>
        <w:spacing w:before="200" w:after="80"/>
      </w:pPr>
      <w:r>
        <w:rPr>
          <w:b/>
          <w:color w:val="065A82"/>
          <w:sz w:val="28"/>
        </w:rPr>
        <w:t>Segmento 1: Ayuntamientos y Municipios (50K-500K habitantes)</w:t>
      </w:r>
    </w:p>
    <w:p>
      <w:pPr>
        <w:spacing w:line="240" w:lineRule="auto" w:after="120"/>
        <w:jc w:val="both"/>
      </w:pPr>
      <w:r>
        <w:rPr>
          <w:sz w:val="22"/>
        </w:rPr>
        <w:t>Son los tomadores de decisión primarios en control de tráfico urbano. Responden a presiones de ciudadanía, normativas ambientales (reducción de emisiones) y presupuestos limitados.</w:t>
      </w:r>
    </w:p>
    <w:p>
      <w:pPr>
        <w:pStyle w:val="ListBullet"/>
        <w:spacing w:after="60"/>
        <w:ind w:left="720"/>
      </w:pPr>
      <w:r>
        <w:rPr>
          <w:sz w:val="22"/>
        </w:rPr>
        <w:t>Total de ciudades objetivo: ~450 en Latinoamérica, ~180 en España/Portugal</w:t>
      </w:r>
    </w:p>
    <w:p>
      <w:pPr>
        <w:pStyle w:val="ListBullet"/>
        <w:spacing w:after="60"/>
        <w:ind w:left="720"/>
      </w:pPr>
      <w:r>
        <w:rPr>
          <w:sz w:val="22"/>
        </w:rPr>
        <w:t>Presupuesto anual típico: €50K-€300K en soluciones de tráfico</w:t>
      </w:r>
    </w:p>
    <w:p>
      <w:pPr>
        <w:pStyle w:val="ListBullet"/>
        <w:spacing w:after="60"/>
        <w:ind w:left="720"/>
      </w:pPr>
      <w:r>
        <w:rPr>
          <w:sz w:val="22"/>
        </w:rPr>
        <w:t>Ciclo de venta: 6-12 meses (licitación pública)</w:t>
      </w:r>
    </w:p>
    <w:p>
      <w:pPr>
        <w:pStyle w:val="ListBullet"/>
        <w:spacing w:after="60"/>
        <w:ind w:left="720"/>
      </w:pPr>
      <w:r>
        <w:rPr>
          <w:sz w:val="22"/>
        </w:rPr>
        <w:t>Contacto decisor: Teniente de Alcalde, Jefe de Movilidad</w:t>
      </w:r>
    </w:p>
    <w:p>
      <w:pPr>
        <w:pStyle w:val="Heading2"/>
        <w:spacing w:before="200" w:after="80"/>
      </w:pPr>
      <w:r>
        <w:rPr>
          <w:b/>
          <w:color w:val="065A82"/>
          <w:sz w:val="28"/>
        </w:rPr>
        <w:t>Segmento 2: Integradores Smart City</w:t>
      </w:r>
    </w:p>
    <w:p>
      <w:pPr>
        <w:spacing w:line="240" w:lineRule="auto" w:after="120"/>
        <w:jc w:val="both"/>
      </w:pPr>
      <w:r>
        <w:rPr>
          <w:sz w:val="22"/>
        </w:rPr>
        <w:t>Sistemas de transporte urbano integrados (Siemens, Kapsch, SWARCO). ATLAS Pro es un componente que aumenta su oferta de valor. Estos actores tienen presencia en gobiernos y presupuestos significativos.</w:t>
      </w:r>
    </w:p>
    <w:p>
      <w:pPr>
        <w:pStyle w:val="ListBullet"/>
        <w:spacing w:after="60"/>
        <w:ind w:left="720"/>
      </w:pPr>
      <w:r>
        <w:rPr>
          <w:sz w:val="22"/>
        </w:rPr>
        <w:t>Total de clientes objetivo: ~40-50 grandes integradores a nivel global</w:t>
      </w:r>
    </w:p>
    <w:p>
      <w:pPr>
        <w:pStyle w:val="ListBullet"/>
        <w:spacing w:after="60"/>
        <w:ind w:left="720"/>
      </w:pPr>
      <w:r>
        <w:rPr>
          <w:sz w:val="22"/>
        </w:rPr>
        <w:t>Presupuesto por proyecto: €2M-€20M</w:t>
      </w:r>
    </w:p>
    <w:p>
      <w:pPr>
        <w:pStyle w:val="ListBullet"/>
        <w:spacing w:after="60"/>
        <w:ind w:left="720"/>
      </w:pPr>
      <w:r>
        <w:rPr>
          <w:sz w:val="22"/>
        </w:rPr>
        <w:t>Ciclo de venta: 3-6 meses (partnership)</w:t>
      </w:r>
    </w:p>
    <w:p>
      <w:pPr>
        <w:pStyle w:val="ListBullet"/>
        <w:spacing w:after="60"/>
        <w:ind w:left="720"/>
      </w:pPr>
      <w:r>
        <w:rPr>
          <w:sz w:val="22"/>
        </w:rPr>
        <w:t>Modelo: OEM, integración blanca, reseller</w:t>
      </w:r>
    </w:p>
    <w:p>
      <w:pPr>
        <w:pStyle w:val="Heading2"/>
        <w:spacing w:before="200" w:after="80"/>
      </w:pPr>
      <w:r>
        <w:rPr>
          <w:b/>
          <w:color w:val="065A82"/>
          <w:sz w:val="28"/>
        </w:rPr>
        <w:t>Segmento 3: Ministerios de Transporte</w:t>
      </w:r>
    </w:p>
    <w:p>
      <w:pPr>
        <w:spacing w:line="240" w:lineRule="auto" w:after="120"/>
        <w:jc w:val="both"/>
      </w:pPr>
      <w:r>
        <w:rPr>
          <w:sz w:val="22"/>
        </w:rPr>
        <w:t>Estrategias nacionales de movilidad, ciudades inteligentes, reducción de congestión. Presupuestos masivos pero ciclos largos.</w:t>
      </w:r>
    </w:p>
    <w:p>
      <w:pPr>
        <w:pStyle w:val="ListBullet"/>
        <w:spacing w:after="60"/>
        <w:ind w:left="720"/>
      </w:pPr>
      <w:r>
        <w:rPr>
          <w:sz w:val="22"/>
        </w:rPr>
        <w:t>Total de mercado: 10-15 ministerios en regiones objetivo</w:t>
      </w:r>
    </w:p>
    <w:p>
      <w:pPr>
        <w:pStyle w:val="ListBullet"/>
        <w:spacing w:after="60"/>
        <w:ind w:left="720"/>
      </w:pPr>
      <w:r>
        <w:rPr>
          <w:sz w:val="22"/>
        </w:rPr>
        <w:t>Presupuesto típico: €5M-€50M por iniciativa</w:t>
      </w:r>
    </w:p>
    <w:p>
      <w:pPr>
        <w:pStyle w:val="ListBullet"/>
        <w:spacing w:after="60"/>
        <w:ind w:left="720"/>
      </w:pPr>
      <w:r>
        <w:rPr>
          <w:sz w:val="22"/>
        </w:rPr>
        <w:t>Ciclo de venta: 12-24 meses</w:t>
      </w:r>
    </w:p>
    <w:p>
      <w:pPr>
        <w:pStyle w:val="ListBullet"/>
        <w:spacing w:after="60"/>
        <w:ind w:left="720"/>
      </w:pPr>
      <w:r>
        <w:rPr>
          <w:sz w:val="22"/>
        </w:rPr>
        <w:t>Contacto: Secretarías de Movilidad, Dirección de Transporte</w:t>
      </w:r>
    </w:p>
    <w:p>
      <w:pPr>
        <w:pStyle w:val="Heading2"/>
        <w:spacing w:before="200" w:after="80"/>
      </w:pPr>
      <w:r>
        <w:rPr>
          <w:b/>
          <w:color w:val="065A82"/>
          <w:sz w:val="28"/>
        </w:rPr>
        <w:t>Segmento 4: Operadores de Autopistas y Peajes</w:t>
      </w:r>
    </w:p>
    <w:p>
      <w:pPr>
        <w:spacing w:line="240" w:lineRule="auto" w:after="120"/>
        <w:jc w:val="both"/>
      </w:pPr>
      <w:r>
        <w:rPr>
          <w:sz w:val="22"/>
        </w:rPr>
        <w:t>Optimización de flujo en corredores de alto volumen. Presión para reducir congestión y mejorar experiencia de usuario.</w:t>
      </w:r>
    </w:p>
    <w:p>
      <w:pPr>
        <w:pStyle w:val="ListBullet"/>
        <w:spacing w:after="60"/>
        <w:ind w:left="720"/>
      </w:pPr>
      <w:r>
        <w:rPr>
          <w:sz w:val="22"/>
        </w:rPr>
        <w:t>Total de operadores: ~120 a nivel regional</w:t>
      </w:r>
    </w:p>
    <w:p>
      <w:pPr>
        <w:pStyle w:val="ListBullet"/>
        <w:spacing w:after="60"/>
        <w:ind w:left="720"/>
      </w:pPr>
      <w:r>
        <w:rPr>
          <w:sz w:val="22"/>
        </w:rPr>
        <w:t>Presupuesto: €200K-€2M por corredor</w:t>
      </w:r>
    </w:p>
    <w:p>
      <w:pPr>
        <w:pStyle w:val="ListBullet"/>
        <w:spacing w:after="60"/>
        <w:ind w:left="720"/>
      </w:pPr>
      <w:r>
        <w:rPr>
          <w:sz w:val="22"/>
        </w:rPr>
        <w:t>Ciclo de venta: 3-6 meses</w:t>
      </w:r>
    </w:p>
    <w:p>
      <w:pPr>
        <w:pStyle w:val="ListBullet"/>
        <w:spacing w:after="60"/>
        <w:ind w:left="720"/>
      </w:pPr>
      <w:r>
        <w:rPr>
          <w:sz w:val="22"/>
        </w:rPr>
        <w:t>KPI crítico: reducción de tiempo de travesía, mejora de safety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065A82"/>
          <w:sz w:val="36"/>
        </w:rPr>
        <w:t>4. MODELO DE NEGOCIO</w:t>
      </w:r>
    </w:p>
    <w:p>
      <w:pPr>
        <w:pStyle w:val="Heading2"/>
        <w:spacing w:before="200" w:after="80"/>
      </w:pPr>
      <w:r>
        <w:rPr>
          <w:b/>
          <w:color w:val="065A82"/>
          <w:sz w:val="28"/>
        </w:rPr>
        <w:t>Opción 1: SaaS Cloud</w:t>
      </w:r>
    </w:p>
    <w:p>
      <w:pPr>
        <w:pStyle w:val="ListBullet"/>
        <w:spacing w:after="60"/>
        <w:ind w:left="720"/>
      </w:pPr>
      <w:r>
        <w:rPr>
          <w:sz w:val="22"/>
        </w:rPr>
        <w:t>ATLAS Pro Básico: €49/intersección/mes</w:t>
      </w:r>
    </w:p>
    <w:p>
      <w:pPr>
        <w:spacing w:line="240" w:lineRule="auto" w:after="120"/>
        <w:jc w:val="both"/>
      </w:pPr>
      <w:r>
        <w:rPr>
          <w:sz w:val="22"/>
        </w:rPr>
        <w:t>Incluye: Control de semáforos automático, dashboard de monitoreo, soporte por email, actualizaciones de software.</w:t>
      </w:r>
    </w:p>
    <w:p>
      <w:pPr>
        <w:pStyle w:val="ListBullet"/>
        <w:spacing w:after="60"/>
        <w:ind w:left="720"/>
      </w:pPr>
      <w:r>
        <w:rPr>
          <w:sz w:val="22"/>
        </w:rPr>
        <w:t>ATLAS Pro Pro: €89/intersección/mes</w:t>
      </w:r>
    </w:p>
    <w:p>
      <w:pPr>
        <w:spacing w:line="240" w:lineRule="auto" w:after="120"/>
        <w:jc w:val="both"/>
      </w:pPr>
      <w:r>
        <w:rPr>
          <w:sz w:val="22"/>
        </w:rPr>
        <w:t>Incluye: Control QMIX multi-agente avanzado, predicción de demanda, detección de anomalías, API integración, soporte prioritario 24/7, modelos personalizados.</w:t>
      </w:r>
    </w:p>
    <w:p>
      <w:pPr>
        <w:pStyle w:val="ListBullet"/>
        <w:spacing w:after="60"/>
        <w:ind w:left="720"/>
      </w:pPr>
      <w:r>
        <w:rPr>
          <w:sz w:val="22"/>
        </w:rPr>
        <w:t>Contrato mínimo: 10 intersecciones / 12 meses</w:t>
      </w:r>
    </w:p>
    <w:p>
      <w:pPr>
        <w:pStyle w:val="ListBullet"/>
        <w:spacing w:after="60"/>
        <w:ind w:left="720"/>
      </w:pPr>
      <w:r>
        <w:rPr>
          <w:sz w:val="22"/>
        </w:rPr>
        <w:t>Ahorro vs soluciones tradicionales: 60-70%</w:t>
      </w:r>
    </w:p>
    <w:p>
      <w:pPr>
        <w:pStyle w:val="Heading2"/>
        <w:spacing w:before="200" w:after="80"/>
      </w:pPr>
      <w:r>
        <w:rPr>
          <w:b/>
          <w:color w:val="065A82"/>
          <w:sz w:val="28"/>
        </w:rPr>
        <w:t>Opción 2: Licencia Perpetua</w:t>
      </w:r>
    </w:p>
    <w:p>
      <w:pPr>
        <w:pStyle w:val="ListBullet"/>
        <w:spacing w:after="60"/>
        <w:ind w:left="720"/>
      </w:pPr>
      <w:r>
        <w:rPr>
          <w:sz w:val="22"/>
        </w:rPr>
        <w:t>Licencia: €2,500 por intersección (pago único)</w:t>
      </w:r>
    </w:p>
    <w:p>
      <w:pPr>
        <w:pStyle w:val="ListBullet"/>
        <w:spacing w:after="60"/>
        <w:ind w:left="720"/>
      </w:pPr>
      <w:r>
        <w:rPr>
          <w:sz w:val="22"/>
        </w:rPr>
        <w:t>Mantenimiento anual: 18% del valor de licencia (€450/intersección/año)</w:t>
      </w:r>
    </w:p>
    <w:p>
      <w:pPr>
        <w:pStyle w:val="ListBullet"/>
        <w:spacing w:after="60"/>
        <w:ind w:left="720"/>
      </w:pPr>
      <w:r>
        <w:rPr>
          <w:sz w:val="22"/>
        </w:rPr>
        <w:t>Incluye: Despliegue on-premise, actualizaciones software, soporte técnico</w:t>
      </w:r>
    </w:p>
    <w:p>
      <w:pPr>
        <w:pStyle w:val="ListBullet"/>
        <w:spacing w:after="60"/>
        <w:ind w:left="720"/>
      </w:pPr>
      <w:r>
        <w:rPr>
          <w:sz w:val="22"/>
        </w:rPr>
        <w:t>Ideal para: Municipios con presupuesto inicial alto, gobernos que quieren evitar suscripciones</w:t>
      </w:r>
    </w:p>
    <w:p>
      <w:pPr>
        <w:pStyle w:val="Heading2"/>
        <w:spacing w:before="200" w:after="80"/>
      </w:pPr>
      <w:r>
        <w:rPr>
          <w:b/>
          <w:color w:val="065A82"/>
          <w:sz w:val="28"/>
        </w:rPr>
        <w:t>Opción 3: Consultoría e Integración</w:t>
      </w:r>
    </w:p>
    <w:p>
      <w:pPr>
        <w:pStyle w:val="ListBullet"/>
        <w:spacing w:after="60"/>
        <w:ind w:left="720"/>
      </w:pPr>
      <w:r>
        <w:rPr>
          <w:sz w:val="22"/>
        </w:rPr>
        <w:t>Integración de Sistema: €150/hora</w:t>
      </w:r>
    </w:p>
    <w:p>
      <w:pPr>
        <w:pStyle w:val="ListBullet"/>
        <w:spacing w:after="60"/>
        <w:ind w:left="720"/>
      </w:pPr>
      <w:r>
        <w:rPr>
          <w:sz w:val="22"/>
        </w:rPr>
        <w:t>Entrenamiento: €200/hora</w:t>
      </w:r>
    </w:p>
    <w:p>
      <w:pPr>
        <w:pStyle w:val="ListBullet"/>
        <w:spacing w:after="60"/>
        <w:ind w:left="720"/>
      </w:pPr>
      <w:r>
        <w:rPr>
          <w:sz w:val="22"/>
        </w:rPr>
        <w:t>Customización de Modelo: €500-€2,000 por intersección</w:t>
      </w:r>
    </w:p>
    <w:p>
      <w:pPr>
        <w:pStyle w:val="ListBullet"/>
        <w:spacing w:after="60"/>
        <w:ind w:left="720"/>
      </w:pPr>
      <w:r>
        <w:rPr>
          <w:sz w:val="22"/>
        </w:rPr>
        <w:t>Servicios gestionados: €5,000-€15,000/mes</w:t>
      </w:r>
    </w:p>
    <w:p>
      <w:pPr>
        <w:pStyle w:val="Heading2"/>
        <w:spacing w:before="200" w:after="80"/>
      </w:pPr>
      <w:r>
        <w:rPr>
          <w:b/>
          <w:color w:val="065A82"/>
          <w:sz w:val="28"/>
        </w:rPr>
        <w:t>Opción 4: Hardware Partner Program</w:t>
      </w:r>
    </w:p>
    <w:p>
      <w:pPr>
        <w:pStyle w:val="ListBullet"/>
        <w:spacing w:after="60"/>
        <w:ind w:left="720"/>
      </w:pPr>
      <w:r>
        <w:rPr>
          <w:sz w:val="22"/>
        </w:rPr>
        <w:t>Jetson Nano Bundle: €1,200 (hardware + software)</w:t>
      </w:r>
    </w:p>
    <w:p>
      <w:pPr>
        <w:pStyle w:val="ListBullet"/>
        <w:spacing w:after="60"/>
        <w:ind w:left="720"/>
      </w:pPr>
      <w:r>
        <w:rPr>
          <w:sz w:val="22"/>
        </w:rPr>
        <w:t>Jetson Orin Bundle: €4,500 (hardware + software)</w:t>
      </w:r>
    </w:p>
    <w:p>
      <w:pPr>
        <w:pStyle w:val="ListBullet"/>
        <w:spacing w:after="60"/>
        <w:ind w:left="720"/>
      </w:pPr>
      <w:r>
        <w:rPr>
          <w:sz w:val="22"/>
        </w:rPr>
        <w:t>Edge PC Bundle: €3,200 (hardware + software)</w:t>
      </w:r>
    </w:p>
    <w:p>
      <w:pPr>
        <w:pStyle w:val="ListBullet"/>
        <w:spacing w:after="60"/>
        <w:ind w:left="720"/>
      </w:pPr>
      <w:r>
        <w:rPr>
          <w:sz w:val="22"/>
        </w:rPr>
        <w:t>Modelo: Margen 30-40% para partners</w:t>
      </w:r>
    </w:p>
    <w:p>
      <w:pPr>
        <w:pStyle w:val="Heading2"/>
        <w:spacing w:before="200" w:after="80"/>
      </w:pPr>
      <w:r>
        <w:rPr>
          <w:b/>
          <w:color w:val="065A82"/>
          <w:sz w:val="28"/>
        </w:rPr>
        <w:t>Modelo de Precios Composite</w:t>
      </w:r>
    </w:p>
    <w:p>
      <w:pPr>
        <w:spacing w:line="240" w:lineRule="auto" w:after="120"/>
        <w:jc w:val="both"/>
      </w:pPr>
      <w:r>
        <w:rPr>
          <w:sz w:val="22"/>
        </w:rPr>
        <w:t>Municipio de 100 intersecciones, 3 años:</w:t>
      </w:r>
    </w:p>
    <w:p>
      <w:pPr>
        <w:pStyle w:val="ListBullet"/>
        <w:spacing w:after="60"/>
        <w:ind w:left="720"/>
      </w:pPr>
      <w:r>
        <w:rPr>
          <w:sz w:val="22"/>
        </w:rPr>
        <w:t>SaaS Pro: €89 × 100 × 36 meses = €320,400</w:t>
      </w:r>
    </w:p>
    <w:p>
      <w:pPr>
        <w:pStyle w:val="ListBullet"/>
        <w:spacing w:after="60"/>
        <w:ind w:left="720"/>
      </w:pPr>
      <w:r>
        <w:rPr>
          <w:sz w:val="22"/>
        </w:rPr>
        <w:t>Licencia Perpetua + Mantenimiento: (€2,500 × 100) + (€450 × 100 × 3) = €385,000</w:t>
      </w:r>
    </w:p>
    <w:p>
      <w:pPr>
        <w:pStyle w:val="ListBullet"/>
        <w:spacing w:after="60"/>
        <w:ind w:left="720"/>
      </w:pPr>
      <w:r>
        <w:rPr>
          <w:sz w:val="22"/>
        </w:rPr>
        <w:t>Híbrido recomendado: Licencia core (30 intersecciones) + SaaS (70) = €234,300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065A82"/>
          <w:sz w:val="36"/>
        </w:rPr>
        <w:t>5. ESTRATEGIA DE VENTAS Y DISTRIBUCIÓN</w:t>
      </w:r>
    </w:p>
    <w:p>
      <w:pPr>
        <w:pStyle w:val="Heading2"/>
        <w:spacing w:before="200" w:after="80"/>
      </w:pPr>
      <w:r>
        <w:rPr>
          <w:b/>
          <w:color w:val="065A82"/>
          <w:sz w:val="28"/>
        </w:rPr>
        <w:t>Canal 1: Venta Directa a Municipios</w:t>
      </w:r>
    </w:p>
    <w:p>
      <w:pPr>
        <w:spacing w:line="240" w:lineRule="auto" w:after="120"/>
        <w:jc w:val="both"/>
      </w:pPr>
      <w:r>
        <w:rPr>
          <w:sz w:val="22"/>
        </w:rPr>
        <w:t>Acceso directo a gobiernos locales mediante:</w:t>
      </w:r>
    </w:p>
    <w:p>
      <w:pPr>
        <w:pStyle w:val="ListBullet"/>
        <w:spacing w:after="60"/>
        <w:ind w:left="720"/>
      </w:pPr>
      <w:r>
        <w:rPr>
          <w:sz w:val="22"/>
        </w:rPr>
        <w:t>Licitaciones públicas: Participación en concursos de compra del sector público</w:t>
      </w:r>
    </w:p>
    <w:p>
      <w:pPr>
        <w:pStyle w:val="ListBullet"/>
        <w:spacing w:after="60"/>
        <w:ind w:left="720"/>
      </w:pPr>
      <w:r>
        <w:rPr>
          <w:sz w:val="22"/>
        </w:rPr>
        <w:t>Demostración piloto: Instalación en 1-2 intersecciones clave (2-3 meses) con resultados medibles</w:t>
      </w:r>
    </w:p>
    <w:p>
      <w:pPr>
        <w:pStyle w:val="ListBullet"/>
        <w:spacing w:after="60"/>
        <w:ind w:left="720"/>
      </w:pPr>
      <w:r>
        <w:rPr>
          <w:sz w:val="22"/>
        </w:rPr>
        <w:t>Caso de uso local: Marketing local post-implementación</w:t>
      </w:r>
    </w:p>
    <w:p>
      <w:pPr>
        <w:pStyle w:val="ListBullet"/>
        <w:spacing w:after="60"/>
        <w:ind w:left="720"/>
      </w:pPr>
      <w:r>
        <w:rPr>
          <w:sz w:val="22"/>
        </w:rPr>
        <w:t>Contacto: Teniente de Alcalde, Concejalía de Movilidad</w:t>
      </w:r>
    </w:p>
    <w:p>
      <w:pPr>
        <w:pStyle w:val="Heading2"/>
        <w:spacing w:before="200" w:after="80"/>
      </w:pPr>
      <w:r>
        <w:rPr>
          <w:b/>
          <w:color w:val="065A82"/>
          <w:sz w:val="28"/>
        </w:rPr>
        <w:t>Canal 2: Partners Tecnológicos (B2B)</w:t>
      </w:r>
    </w:p>
    <w:p>
      <w:pPr>
        <w:spacing w:line="240" w:lineRule="auto" w:after="120"/>
        <w:jc w:val="both"/>
      </w:pPr>
      <w:r>
        <w:rPr>
          <w:sz w:val="22"/>
        </w:rPr>
        <w:t>Integración con integradores ITS existentes (Siemens, Kapsch, SWARCO, Teltronic):</w:t>
      </w:r>
    </w:p>
    <w:p>
      <w:pPr>
        <w:pStyle w:val="ListBullet"/>
        <w:spacing w:after="60"/>
        <w:ind w:left="720"/>
      </w:pPr>
      <w:r>
        <w:rPr>
          <w:sz w:val="22"/>
        </w:rPr>
        <w:t>OEM Agreement: ATLAS Pro como componente de solución integrada</w:t>
      </w:r>
    </w:p>
    <w:p>
      <w:pPr>
        <w:pStyle w:val="ListBullet"/>
        <w:spacing w:after="60"/>
        <w:ind w:left="720"/>
      </w:pPr>
      <w:r>
        <w:rPr>
          <w:sz w:val="22"/>
        </w:rPr>
        <w:t>Reseller Program: Márgenes 20-30% en venta de licencias</w:t>
      </w:r>
    </w:p>
    <w:p>
      <w:pPr>
        <w:pStyle w:val="ListBullet"/>
        <w:spacing w:after="60"/>
        <w:ind w:left="720"/>
      </w:pPr>
      <w:r>
        <w:rPr>
          <w:sz w:val="22"/>
        </w:rPr>
        <w:t>Joint Solutions: Co-marketing y co-venta</w:t>
      </w:r>
    </w:p>
    <w:p>
      <w:pPr>
        <w:pStyle w:val="ListBullet"/>
        <w:spacing w:after="60"/>
        <w:ind w:left="720"/>
      </w:pPr>
      <w:r>
        <w:rPr>
          <w:sz w:val="22"/>
        </w:rPr>
        <w:t>Technical Integration: API y soporte de integración</w:t>
      </w:r>
    </w:p>
    <w:p>
      <w:pPr>
        <w:pStyle w:val="Heading2"/>
        <w:spacing w:before="200" w:after="80"/>
      </w:pPr>
      <w:r>
        <w:rPr>
          <w:b/>
          <w:color w:val="065A82"/>
          <w:sz w:val="28"/>
        </w:rPr>
        <w:t>Canal 3: Distribuidores Regionales</w:t>
      </w:r>
    </w:p>
    <w:p>
      <w:pPr>
        <w:spacing w:line="240" w:lineRule="auto" w:after="120"/>
        <w:jc w:val="both"/>
      </w:pPr>
      <w:r>
        <w:rPr>
          <w:sz w:val="22"/>
        </w:rPr>
        <w:t>Partners locales con relaciones con gobiernos en Latinoamérica:</w:t>
      </w:r>
    </w:p>
    <w:p>
      <w:pPr>
        <w:pStyle w:val="ListBullet"/>
        <w:spacing w:after="60"/>
        <w:ind w:left="720"/>
      </w:pPr>
      <w:r>
        <w:rPr>
          <w:sz w:val="22"/>
        </w:rPr>
        <w:t>Distribuidores ITS establecidos con cartera municipal</w:t>
      </w:r>
    </w:p>
    <w:p>
      <w:pPr>
        <w:pStyle w:val="ListBullet"/>
        <w:spacing w:after="60"/>
        <w:ind w:left="720"/>
      </w:pPr>
      <w:r>
        <w:rPr>
          <w:sz w:val="22"/>
        </w:rPr>
        <w:t>Márgenes: 25-35% sobre precio de lista</w:t>
      </w:r>
    </w:p>
    <w:p>
      <w:pPr>
        <w:pStyle w:val="ListBullet"/>
        <w:spacing w:after="60"/>
        <w:ind w:left="720"/>
      </w:pPr>
      <w:r>
        <w:rPr>
          <w:sz w:val="22"/>
        </w:rPr>
        <w:t>Soporte: Training, marketing, demos técnicas</w:t>
      </w:r>
    </w:p>
    <w:p>
      <w:pPr>
        <w:pStyle w:val="Heading2"/>
        <w:spacing w:before="200" w:after="80"/>
      </w:pPr>
      <w:r>
        <w:rPr>
          <w:b/>
          <w:color w:val="065A82"/>
          <w:sz w:val="28"/>
        </w:rPr>
        <w:t>Canal 4: Marketplace Cloud</w:t>
      </w:r>
    </w:p>
    <w:p>
      <w:pPr>
        <w:spacing w:line="240" w:lineRule="auto" w:after="120"/>
        <w:jc w:val="both"/>
      </w:pPr>
      <w:r>
        <w:rPr>
          <w:sz w:val="22"/>
        </w:rPr>
        <w:t>Presencia en AWS Marketplace, Azure Marketplace, Google Cloud Marketplace:</w:t>
      </w:r>
    </w:p>
    <w:p>
      <w:pPr>
        <w:pStyle w:val="ListBullet"/>
        <w:spacing w:after="60"/>
        <w:ind w:left="720"/>
      </w:pPr>
      <w:r>
        <w:rPr>
          <w:sz w:val="22"/>
        </w:rPr>
        <w:t>Descubrimiento y adquisición automática de clientes</w:t>
      </w:r>
    </w:p>
    <w:p>
      <w:pPr>
        <w:pStyle w:val="ListBullet"/>
        <w:spacing w:after="60"/>
        <w:ind w:left="720"/>
      </w:pPr>
      <w:r>
        <w:rPr>
          <w:sz w:val="22"/>
        </w:rPr>
        <w:t>Integración con créditos cloud de gobiernos</w:t>
      </w:r>
    </w:p>
    <w:p>
      <w:pPr>
        <w:pStyle w:val="ListBullet"/>
        <w:spacing w:after="60"/>
        <w:ind w:left="720"/>
      </w:pPr>
      <w:r>
        <w:rPr>
          <w:sz w:val="22"/>
        </w:rPr>
        <w:t>Comisión típica: 15% del ingreso</w:t>
      </w:r>
    </w:p>
    <w:p>
      <w:pPr>
        <w:pStyle w:val="Heading2"/>
        <w:spacing w:before="200" w:after="80"/>
      </w:pPr>
      <w:r>
        <w:rPr>
          <w:b/>
          <w:color w:val="065A82"/>
          <w:sz w:val="28"/>
        </w:rPr>
        <w:t>Estrategia de Posicionamiento</w:t>
      </w:r>
    </w:p>
    <w:p>
      <w:pPr>
        <w:pStyle w:val="ListBullet"/>
        <w:spacing w:after="60"/>
        <w:ind w:left="720"/>
      </w:pPr>
      <w:r>
        <w:rPr>
          <w:sz w:val="22"/>
        </w:rPr>
        <w:t>Green City: Énfasis en reducción de emisiones y sostenibilidad</w:t>
      </w:r>
    </w:p>
    <w:p>
      <w:pPr>
        <w:pStyle w:val="ListBullet"/>
        <w:spacing w:after="60"/>
        <w:ind w:left="720"/>
      </w:pPr>
      <w:r>
        <w:rPr>
          <w:sz w:val="22"/>
        </w:rPr>
        <w:t>Smart Government: Solución integral de smart cities</w:t>
      </w:r>
    </w:p>
    <w:p>
      <w:pPr>
        <w:pStyle w:val="ListBullet"/>
        <w:spacing w:after="60"/>
        <w:ind w:left="720"/>
      </w:pPr>
      <w:r>
        <w:rPr>
          <w:sz w:val="22"/>
        </w:rPr>
        <w:t>Cost Savings: ROI rápido y ahorro vs soluciones legacy</w:t>
      </w:r>
    </w:p>
    <w:p>
      <w:pPr>
        <w:pStyle w:val="ListBullet"/>
        <w:spacing w:after="60"/>
        <w:ind w:left="720"/>
      </w:pPr>
      <w:r>
        <w:rPr>
          <w:sz w:val="22"/>
        </w:rPr>
        <w:t>Privacy First: Control local, sin dependencia de datos en nube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065A82"/>
          <w:sz w:val="36"/>
        </w:rPr>
        <w:t>6. PLAN DE ACCIÓN – 12 MESES</w:t>
      </w:r>
    </w:p>
    <w:p>
      <w:pPr>
        <w:pStyle w:val="Heading2"/>
        <w:spacing w:before="200" w:after="80"/>
      </w:pPr>
      <w:r>
        <w:rPr>
          <w:b/>
          <w:color w:val="065A82"/>
          <w:sz w:val="28"/>
        </w:rPr>
        <w:t>Q1 (Enero-Marzo): Preparación y MVP Piloto</w:t>
      </w:r>
    </w:p>
    <w:p>
      <w:pPr>
        <w:spacing w:after="80"/>
        <w:ind w:left="360"/>
      </w:pPr>
      <w:r>
        <w:rPr>
          <w:sz w:val="22"/>
        </w:rPr>
        <w:t>1. MVP Deployment: Instalación en 2 municipios pilotos (10-15 intersecciones cada una)</w:t>
      </w:r>
    </w:p>
    <w:p>
      <w:pPr>
        <w:spacing w:after="80"/>
        <w:ind w:left="360"/>
      </w:pPr>
      <w:r>
        <w:rPr>
          <w:sz w:val="22"/>
        </w:rPr>
        <w:t>2. Certifications: Obtener NTCIP, UTMC compliance, certificaciones de seguridad</w:t>
      </w:r>
    </w:p>
    <w:p>
      <w:pPr>
        <w:spacing w:after="80"/>
        <w:ind w:left="360"/>
      </w:pPr>
      <w:r>
        <w:rPr>
          <w:sz w:val="22"/>
        </w:rPr>
        <w:t>3. Documentation: Manuales de usuario, guías de integración, documentación técnica</w:t>
      </w:r>
    </w:p>
    <w:p>
      <w:pPr>
        <w:spacing w:after="80"/>
        <w:ind w:left="360"/>
      </w:pPr>
      <w:r>
        <w:rPr>
          <w:sz w:val="22"/>
        </w:rPr>
        <w:t>4. Partner Outreach: Contacto inicial con Siemens, Kapsch, integradores locales</w:t>
      </w:r>
    </w:p>
    <w:p>
      <w:pPr>
        <w:spacing w:after="80"/>
        <w:ind w:left="360"/>
      </w:pPr>
      <w:r>
        <w:rPr>
          <w:sz w:val="22"/>
        </w:rPr>
        <w:t>5. Case Study: Preparar caso de uso documentado con métricas</w:t>
      </w:r>
    </w:p>
    <w:p>
      <w:pPr>
        <w:pStyle w:val="Heading2"/>
        <w:spacing w:before="200" w:after="80"/>
      </w:pPr>
      <w:r>
        <w:rPr>
          <w:b/>
          <w:color w:val="065A82"/>
          <w:sz w:val="28"/>
        </w:rPr>
        <w:t>Q2 (Abril-Junio): Primeros Clientes de Pago</w:t>
      </w:r>
    </w:p>
    <w:p>
      <w:pPr>
        <w:spacing w:after="80"/>
        <w:ind w:left="360"/>
      </w:pPr>
      <w:r>
        <w:rPr>
          <w:sz w:val="22"/>
        </w:rPr>
        <w:t>1. Commercial Launch: Lanzamiento público de ATLAS Pro</w:t>
      </w:r>
    </w:p>
    <w:p>
      <w:pPr>
        <w:spacing w:after="80"/>
        <w:ind w:left="360"/>
      </w:pPr>
      <w:r>
        <w:rPr>
          <w:sz w:val="22"/>
        </w:rPr>
        <w:t>2. Primeras Ventas: 2-3 municipios en producción con SaaS/Licencia</w:t>
      </w:r>
    </w:p>
    <w:p>
      <w:pPr>
        <w:spacing w:after="80"/>
        <w:ind w:left="360"/>
      </w:pPr>
      <w:r>
        <w:rPr>
          <w:sz w:val="22"/>
        </w:rPr>
        <w:t>3. Partner Agreements: Firmar 2-3 acuerdos de reseller/integración</w:t>
      </w:r>
    </w:p>
    <w:p>
      <w:pPr>
        <w:spacing w:after="80"/>
        <w:ind w:left="360"/>
      </w:pPr>
      <w:r>
        <w:rPr>
          <w:sz w:val="22"/>
        </w:rPr>
        <w:t>4. Marketing: Whitepaper, webinars, conferencias de transporte</w:t>
      </w:r>
    </w:p>
    <w:p>
      <w:pPr>
        <w:spacing w:after="80"/>
        <w:ind w:left="360"/>
      </w:pPr>
      <w:r>
        <w:rPr>
          <w:sz w:val="22"/>
        </w:rPr>
        <w:t>5. Financial Target: €30K MRR (150 intersecciones)</w:t>
      </w:r>
    </w:p>
    <w:p>
      <w:pPr>
        <w:pStyle w:val="Heading2"/>
        <w:spacing w:before="200" w:after="80"/>
      </w:pPr>
      <w:r>
        <w:rPr>
          <w:b/>
          <w:color w:val="065A82"/>
          <w:sz w:val="28"/>
        </w:rPr>
        <w:t>Q3 (Julio-Septiembre): Escalado Regional</w:t>
      </w:r>
    </w:p>
    <w:p>
      <w:pPr>
        <w:spacing w:after="80"/>
        <w:ind w:left="360"/>
      </w:pPr>
      <w:r>
        <w:rPr>
          <w:sz w:val="22"/>
        </w:rPr>
        <w:t>1. LATAM Expansion: Apertura de operaciones en 2-3 países (Colombia, Chile, Perú)</w:t>
      </w:r>
    </w:p>
    <w:p>
      <w:pPr>
        <w:spacing w:after="80"/>
        <w:ind w:left="360"/>
      </w:pPr>
      <w:r>
        <w:rPr>
          <w:sz w:val="22"/>
        </w:rPr>
        <w:t>2. Scale to 5+ Cities: 5+ ciudades en producción, 300+ intersecciones</w:t>
      </w:r>
    </w:p>
    <w:p>
      <w:pPr>
        <w:spacing w:after="80"/>
        <w:ind w:left="360"/>
      </w:pPr>
      <w:r>
        <w:rPr>
          <w:sz w:val="22"/>
        </w:rPr>
        <w:t>3. Product Maturity: v1.5 con optimizaciones de rendimiento</w:t>
      </w:r>
    </w:p>
    <w:p>
      <w:pPr>
        <w:spacing w:after="80"/>
        <w:ind w:left="360"/>
      </w:pPr>
      <w:r>
        <w:rPr>
          <w:sz w:val="22"/>
        </w:rPr>
        <w:t>4. Marketplace Integration: Publicación en AWS/Azure/GCP Marketplace</w:t>
      </w:r>
    </w:p>
    <w:p>
      <w:pPr>
        <w:spacing w:after="80"/>
        <w:ind w:left="360"/>
      </w:pPr>
      <w:r>
        <w:rPr>
          <w:sz w:val="22"/>
        </w:rPr>
        <w:t>5. Financial Target: €60K MRR (360 intersecciones)</w:t>
      </w:r>
    </w:p>
    <w:p>
      <w:pPr>
        <w:pStyle w:val="Heading2"/>
        <w:spacing w:before="200" w:after="80"/>
      </w:pPr>
      <w:r>
        <w:rPr>
          <w:b/>
          <w:color w:val="065A82"/>
          <w:sz w:val="28"/>
        </w:rPr>
        <w:t>Q4 (Octubre-Diciembre): Preparación para Series A</w:t>
      </w:r>
    </w:p>
    <w:p>
      <w:pPr>
        <w:spacing w:after="80"/>
        <w:ind w:left="360"/>
      </w:pPr>
      <w:r>
        <w:rPr>
          <w:sz w:val="22"/>
        </w:rPr>
        <w:t>1. Scale Target: 50+ intersecciones desplegadas, 400+ intersecciones</w:t>
      </w:r>
    </w:p>
    <w:p>
      <w:pPr>
        <w:spacing w:after="80"/>
        <w:ind w:left="360"/>
      </w:pPr>
      <w:r>
        <w:rPr>
          <w:sz w:val="22"/>
        </w:rPr>
        <w:t>2. Financial Performance: €90-€100K MRR, ruta clara a rentabilidad</w:t>
      </w:r>
    </w:p>
    <w:p>
      <w:pPr>
        <w:spacing w:after="80"/>
        <w:ind w:left="360"/>
      </w:pPr>
      <w:r>
        <w:rPr>
          <w:sz w:val="22"/>
        </w:rPr>
        <w:t>3. Series A Roadshow: Pitch a inversores, levantamiento de capital</w:t>
      </w:r>
    </w:p>
    <w:p>
      <w:pPr>
        <w:spacing w:after="80"/>
        <w:ind w:left="360"/>
      </w:pPr>
      <w:r>
        <w:rPr>
          <w:sz w:val="22"/>
        </w:rPr>
        <w:t>4. Strategic Partnerships: Acuerdos con 3-5 integradores grandes</w:t>
      </w:r>
    </w:p>
    <w:p>
      <w:pPr>
        <w:spacing w:after="80"/>
        <w:ind w:left="360"/>
      </w:pPr>
      <w:r>
        <w:rPr>
          <w:sz w:val="22"/>
        </w:rPr>
        <w:t>5. Market Expansion: Preparación para expansión europea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065A82"/>
          <w:sz w:val="36"/>
        </w:rPr>
        <w:t>7. PROYECCIONES FINANCIERAS</w:t>
      </w:r>
    </w:p>
    <w:p>
      <w:pPr>
        <w:pStyle w:val="Heading2"/>
        <w:spacing w:before="200" w:after="80"/>
      </w:pPr>
      <w:r>
        <w:rPr>
          <w:b/>
          <w:color w:val="065A82"/>
          <w:sz w:val="28"/>
        </w:rPr>
        <w:t>Modelo de Ingresos</w:t>
      </w:r>
    </w:p>
    <w:p>
      <w:pPr>
        <w:spacing w:line="240" w:lineRule="auto" w:after="120"/>
        <w:jc w:val="both"/>
      </w:pPr>
      <w:r>
        <w:rPr>
          <w:sz w:val="22"/>
        </w:rPr>
        <w:t>Mezcla de SaaS (70%) y Licencias (30%) en proyección: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65A82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Año</w:t>
            </w:r>
          </w:p>
        </w:tc>
        <w:tc>
          <w:tcPr>
            <w:tcW w:type="dxa" w:w="1560"/>
            <w:shd w:fill="065A82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Intersecciones</w:t>
            </w:r>
          </w:p>
        </w:tc>
        <w:tc>
          <w:tcPr>
            <w:tcW w:type="dxa" w:w="1560"/>
            <w:shd w:fill="065A82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ARR SaaS</w:t>
            </w:r>
          </w:p>
        </w:tc>
        <w:tc>
          <w:tcPr>
            <w:tcW w:type="dxa" w:w="1560"/>
            <w:shd w:fill="065A82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ARR Licencias</w:t>
            </w:r>
          </w:p>
        </w:tc>
        <w:tc>
          <w:tcPr>
            <w:tcW w:type="dxa" w:w="1560"/>
            <w:shd w:fill="065A82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Ingresos Totales</w:t>
            </w:r>
          </w:p>
        </w:tc>
        <w:tc>
          <w:tcPr>
            <w:tcW w:type="dxa" w:w="1560"/>
            <w:shd w:fill="065A82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Crecimiento YoY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Año 1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€96K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€84K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€180K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560"/>
            <w:shd w:fill="F0F0F0"/>
          </w:tcPr>
          <w:p>
            <w:r>
              <w:rPr>
                <w:sz w:val="20"/>
              </w:rPr>
              <w:t>Año 2</w:t>
            </w:r>
          </w:p>
        </w:tc>
        <w:tc>
          <w:tcPr>
            <w:tcW w:type="dxa" w:w="1560"/>
            <w:shd w:fill="F0F0F0"/>
          </w:tcPr>
          <w:p>
            <w:r>
              <w:rPr>
                <w:sz w:val="20"/>
              </w:rPr>
              <w:t>800</w:t>
            </w:r>
          </w:p>
        </w:tc>
        <w:tc>
          <w:tcPr>
            <w:tcW w:type="dxa" w:w="1560"/>
            <w:shd w:fill="F0F0F0"/>
          </w:tcPr>
          <w:p>
            <w:r>
              <w:rPr>
                <w:sz w:val="20"/>
              </w:rPr>
              <w:t>€480K</w:t>
            </w:r>
          </w:p>
        </w:tc>
        <w:tc>
          <w:tcPr>
            <w:tcW w:type="dxa" w:w="1560"/>
            <w:shd w:fill="F0F0F0"/>
          </w:tcPr>
          <w:p>
            <w:r>
              <w:rPr>
                <w:sz w:val="20"/>
              </w:rPr>
              <w:t>€240K</w:t>
            </w:r>
          </w:p>
        </w:tc>
        <w:tc>
          <w:tcPr>
            <w:tcW w:type="dxa" w:w="1560"/>
            <w:shd w:fill="F0F0F0"/>
          </w:tcPr>
          <w:p>
            <w:r>
              <w:rPr>
                <w:sz w:val="20"/>
              </w:rPr>
              <w:t>€720K</w:t>
            </w:r>
          </w:p>
        </w:tc>
        <w:tc>
          <w:tcPr>
            <w:tcW w:type="dxa" w:w="1560"/>
            <w:shd w:fill="F0F0F0"/>
          </w:tcPr>
          <w:p>
            <w:r>
              <w:rPr>
                <w:sz w:val="20"/>
              </w:rPr>
              <w:t>300%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Año 3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2,400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€1.44M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€660K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€2.1M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192%</w:t>
            </w:r>
          </w:p>
        </w:tc>
      </w:tr>
      <w:tr>
        <w:tc>
          <w:tcPr>
            <w:tcW w:type="dxa" w:w="1560"/>
            <w:shd w:fill="F0F0F0"/>
          </w:tcPr>
          <w:p>
            <w:r>
              <w:rPr>
                <w:sz w:val="20"/>
              </w:rPr>
              <w:t>Año 4</w:t>
            </w:r>
          </w:p>
        </w:tc>
        <w:tc>
          <w:tcPr>
            <w:tcW w:type="dxa" w:w="1560"/>
            <w:shd w:fill="F0F0F0"/>
          </w:tcPr>
          <w:p>
            <w:r>
              <w:rPr>
                <w:sz w:val="20"/>
              </w:rPr>
              <w:t>5,000</w:t>
            </w:r>
          </w:p>
        </w:tc>
        <w:tc>
          <w:tcPr>
            <w:tcW w:type="dxa" w:w="1560"/>
            <w:shd w:fill="F0F0F0"/>
          </w:tcPr>
          <w:p>
            <w:r>
              <w:rPr>
                <w:sz w:val="20"/>
              </w:rPr>
              <w:t>€3.0M</w:t>
            </w:r>
          </w:p>
        </w:tc>
        <w:tc>
          <w:tcPr>
            <w:tcW w:type="dxa" w:w="1560"/>
            <w:shd w:fill="F0F0F0"/>
          </w:tcPr>
          <w:p>
            <w:r>
              <w:rPr>
                <w:sz w:val="20"/>
              </w:rPr>
              <w:t>€1.25M</w:t>
            </w:r>
          </w:p>
        </w:tc>
        <w:tc>
          <w:tcPr>
            <w:tcW w:type="dxa" w:w="1560"/>
            <w:shd w:fill="F0F0F0"/>
          </w:tcPr>
          <w:p>
            <w:r>
              <w:rPr>
                <w:sz w:val="20"/>
              </w:rPr>
              <w:t>€4.25M</w:t>
            </w:r>
          </w:p>
        </w:tc>
        <w:tc>
          <w:tcPr>
            <w:tcW w:type="dxa" w:w="1560"/>
            <w:shd w:fill="F0F0F0"/>
          </w:tcPr>
          <w:p>
            <w:r>
              <w:rPr>
                <w:sz w:val="20"/>
              </w:rPr>
              <w:t>102%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Año 5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8,000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€4.8M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€2.0M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€6.8M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60%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065A82"/>
          <w:sz w:val="28"/>
        </w:rPr>
        <w:t>Proyección por Trimestre – Año 1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65A82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</w:t>
            </w:r>
          </w:p>
        </w:tc>
        <w:tc>
          <w:tcPr>
            <w:tcW w:type="dxa" w:w="1872"/>
            <w:shd w:fill="065A82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Intersecciones</w:t>
            </w:r>
          </w:p>
        </w:tc>
        <w:tc>
          <w:tcPr>
            <w:tcW w:type="dxa" w:w="1872"/>
            <w:shd w:fill="065A82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MRR</w:t>
            </w:r>
          </w:p>
        </w:tc>
        <w:tc>
          <w:tcPr>
            <w:tcW w:type="dxa" w:w="1872"/>
            <w:shd w:fill="065A82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Clientes Nuevos</w:t>
            </w:r>
          </w:p>
        </w:tc>
        <w:tc>
          <w:tcPr>
            <w:tcW w:type="dxa" w:w="1872"/>
            <w:shd w:fill="065A82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Notas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Q1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10-15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€500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2 pilotos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MVP, sin ingresos</w:t>
            </w:r>
          </w:p>
        </w:tc>
      </w:tr>
      <w:tr>
        <w:tc>
          <w:tcPr>
            <w:tcW w:type="dxa" w:w="1872"/>
            <w:shd w:fill="F0F0F0"/>
          </w:tcPr>
          <w:p>
            <w:r>
              <w:rPr>
                <w:sz w:val="20"/>
              </w:rPr>
              <w:t>Q2</w:t>
            </w:r>
          </w:p>
        </w:tc>
        <w:tc>
          <w:tcPr>
            <w:tcW w:type="dxa" w:w="1872"/>
            <w:shd w:fill="F0F0F0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872"/>
            <w:shd w:fill="F0F0F0"/>
          </w:tcPr>
          <w:p>
            <w:r>
              <w:rPr>
                <w:sz w:val="20"/>
              </w:rPr>
              <w:t>€2.5K</w:t>
            </w:r>
          </w:p>
        </w:tc>
        <w:tc>
          <w:tcPr>
            <w:tcW w:type="dxa" w:w="1872"/>
            <w:shd w:fill="F0F0F0"/>
          </w:tcPr>
          <w:p>
            <w:r>
              <w:rPr>
                <w:sz w:val="20"/>
              </w:rPr>
              <w:t>2-3 pagos</w:t>
            </w:r>
          </w:p>
        </w:tc>
        <w:tc>
          <w:tcPr>
            <w:tcW w:type="dxa" w:w="1872"/>
            <w:shd w:fill="F0F0F0"/>
          </w:tcPr>
          <w:p>
            <w:r>
              <w:rPr>
                <w:sz w:val="20"/>
              </w:rPr>
              <w:t>Commercial launch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Q3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120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€6K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3-4 pagos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LATAM expansion</w:t>
            </w:r>
          </w:p>
        </w:tc>
      </w:tr>
      <w:tr>
        <w:tc>
          <w:tcPr>
            <w:tcW w:type="dxa" w:w="1872"/>
            <w:shd w:fill="F0F0F0"/>
          </w:tcPr>
          <w:p>
            <w:r>
              <w:rPr>
                <w:sz w:val="20"/>
              </w:rPr>
              <w:t>Q4</w:t>
            </w:r>
          </w:p>
        </w:tc>
        <w:tc>
          <w:tcPr>
            <w:tcW w:type="dxa" w:w="1872"/>
            <w:shd w:fill="F0F0F0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872"/>
            <w:shd w:fill="F0F0F0"/>
          </w:tcPr>
          <w:p>
            <w:r>
              <w:rPr>
                <w:sz w:val="20"/>
              </w:rPr>
              <w:t>€15K</w:t>
            </w:r>
          </w:p>
        </w:tc>
        <w:tc>
          <w:tcPr>
            <w:tcW w:type="dxa" w:w="1872"/>
            <w:shd w:fill="F0F0F0"/>
          </w:tcPr>
          <w:p>
            <w:r>
              <w:rPr>
                <w:sz w:val="20"/>
              </w:rPr>
              <w:t>2-3 pagos</w:t>
            </w:r>
          </w:p>
        </w:tc>
        <w:tc>
          <w:tcPr>
            <w:tcW w:type="dxa" w:w="1872"/>
            <w:shd w:fill="F0F0F0"/>
          </w:tcPr>
          <w:p>
            <w:r>
              <w:rPr>
                <w:sz w:val="20"/>
              </w:rPr>
              <w:t>Series A prep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065A82"/>
          <w:sz w:val="28"/>
        </w:rPr>
        <w:t>Supuestos de Modelado</w:t>
      </w:r>
    </w:p>
    <w:p>
      <w:pPr>
        <w:pStyle w:val="ListBullet"/>
        <w:spacing w:after="60"/>
        <w:ind w:left="720"/>
      </w:pPr>
      <w:r>
        <w:rPr>
          <w:sz w:val="22"/>
        </w:rPr>
        <w:t>Precio promedio: €60/intersección/mes (mix SaaS básico y Pro)</w:t>
      </w:r>
    </w:p>
    <w:p>
      <w:pPr>
        <w:pStyle w:val="ListBullet"/>
        <w:spacing w:after="60"/>
        <w:ind w:left="720"/>
      </w:pPr>
      <w:r>
        <w:rPr>
          <w:sz w:val="22"/>
        </w:rPr>
        <w:t>Tasa de churn: 2% mensual (muy baja en sector público)</w:t>
      </w:r>
    </w:p>
    <w:p>
      <w:pPr>
        <w:pStyle w:val="ListBullet"/>
        <w:spacing w:after="60"/>
        <w:ind w:left="720"/>
      </w:pPr>
      <w:r>
        <w:rPr>
          <w:sz w:val="22"/>
        </w:rPr>
        <w:t>Costo de adquisición (CAC): €3,000 por cliente (€30K por municipio de 10 intersecciones)</w:t>
      </w:r>
    </w:p>
    <w:p>
      <w:pPr>
        <w:pStyle w:val="ListBullet"/>
        <w:spacing w:after="60"/>
        <w:ind w:left="720"/>
      </w:pPr>
      <w:r>
        <w:rPr>
          <w:sz w:val="22"/>
        </w:rPr>
        <w:t>Payback period: 12-18 meses</w:t>
      </w:r>
    </w:p>
    <w:p>
      <w:pPr>
        <w:pStyle w:val="ListBullet"/>
        <w:spacing w:after="60"/>
        <w:ind w:left="720"/>
      </w:pPr>
      <w:r>
        <w:rPr>
          <w:sz w:val="22"/>
        </w:rPr>
        <w:t>LTV:CAC ratio: 5:1 (sostenible)</w:t>
      </w:r>
    </w:p>
    <w:p>
      <w:pPr>
        <w:pStyle w:val="Heading2"/>
        <w:spacing w:before="200" w:after="80"/>
      </w:pPr>
      <w:r>
        <w:rPr>
          <w:b/>
          <w:color w:val="065A82"/>
          <w:sz w:val="28"/>
        </w:rPr>
        <w:t>Estructura de Costos</w:t>
      </w:r>
    </w:p>
    <w:p>
      <w:pPr>
        <w:pStyle w:val="ListBullet"/>
        <w:spacing w:after="60"/>
        <w:ind w:left="720"/>
      </w:pPr>
      <w:r>
        <w:rPr>
          <w:sz w:val="22"/>
        </w:rPr>
        <w:t>COGS (infraestructura, hosting): 15% de ingresos</w:t>
      </w:r>
    </w:p>
    <w:p>
      <w:pPr>
        <w:pStyle w:val="ListBullet"/>
        <w:spacing w:after="60"/>
        <w:ind w:left="720"/>
      </w:pPr>
      <w:r>
        <w:rPr>
          <w:sz w:val="22"/>
        </w:rPr>
        <w:t>R&amp;D: 30% (desarrollo continuo, ML)</w:t>
      </w:r>
    </w:p>
    <w:p>
      <w:pPr>
        <w:pStyle w:val="ListBullet"/>
        <w:spacing w:after="60"/>
        <w:ind w:left="720"/>
      </w:pPr>
      <w:r>
        <w:rPr>
          <w:sz w:val="22"/>
        </w:rPr>
        <w:t>Ventas y Marketing: 25%</w:t>
      </w:r>
    </w:p>
    <w:p>
      <w:pPr>
        <w:pStyle w:val="ListBullet"/>
        <w:spacing w:after="60"/>
        <w:ind w:left="720"/>
      </w:pPr>
      <w:r>
        <w:rPr>
          <w:sz w:val="22"/>
        </w:rPr>
        <w:t>G&amp;A: 15%</w:t>
      </w:r>
    </w:p>
    <w:p>
      <w:pPr>
        <w:pStyle w:val="ListBullet"/>
        <w:spacing w:after="60"/>
        <w:ind w:left="720"/>
      </w:pPr>
      <w:r>
        <w:rPr>
          <w:sz w:val="22"/>
        </w:rPr>
        <w:t>Margen operativo Año 3: 15%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065A82"/>
          <w:sz w:val="36"/>
        </w:rPr>
        <w:t>8. VENTAJA COMPETITIVA</w:t>
      </w:r>
    </w:p>
    <w:p>
      <w:pPr>
        <w:pStyle w:val="Heading2"/>
        <w:spacing w:before="200" w:after="80"/>
      </w:pPr>
      <w:r>
        <w:rPr>
          <w:b/>
          <w:color w:val="065A82"/>
          <w:sz w:val="28"/>
        </w:rPr>
        <w:t>Análisis Competitivo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65A82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Feature</w:t>
            </w:r>
          </w:p>
        </w:tc>
        <w:tc>
          <w:tcPr>
            <w:tcW w:type="dxa" w:w="1872"/>
            <w:shd w:fill="065A82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ATLAS Pro</w:t>
            </w:r>
          </w:p>
        </w:tc>
        <w:tc>
          <w:tcPr>
            <w:tcW w:type="dxa" w:w="1872"/>
            <w:shd w:fill="065A82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SCOOT/SCATS</w:t>
            </w:r>
          </w:p>
        </w:tc>
        <w:tc>
          <w:tcPr>
            <w:tcW w:type="dxa" w:w="1872"/>
            <w:shd w:fill="065A82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InSync</w:t>
            </w:r>
          </w:p>
        </w:tc>
        <w:tc>
          <w:tcPr>
            <w:tcW w:type="dxa" w:w="1872"/>
            <w:shd w:fill="065A82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Sistemas Locales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Tecnología IA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DDQN + QMIX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Algoritmos clásicos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IA básica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No IA</w:t>
            </w:r>
          </w:p>
        </w:tc>
      </w:tr>
      <w:tr>
        <w:tc>
          <w:tcPr>
            <w:tcW w:type="dxa" w:w="1872"/>
            <w:shd w:fill="F0F0F0"/>
          </w:tcPr>
          <w:p>
            <w:r>
              <w:rPr>
                <w:sz w:val="20"/>
              </w:rPr>
              <w:t>Multi-agent</w:t>
            </w:r>
          </w:p>
        </w:tc>
        <w:tc>
          <w:tcPr>
            <w:tcW w:type="dxa" w:w="1872"/>
            <w:shd w:fill="F0F0F0"/>
          </w:tcPr>
          <w:p>
            <w:r>
              <w:rPr>
                <w:sz w:val="20"/>
              </w:rPr>
              <w:t>Sí (QMIX)</w:t>
            </w:r>
          </w:p>
        </w:tc>
        <w:tc>
          <w:tcPr>
            <w:tcW w:type="dxa" w:w="1872"/>
            <w:shd w:fill="F0F0F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72"/>
            <w:shd w:fill="F0F0F0"/>
          </w:tcPr>
          <w:p>
            <w:r>
              <w:rPr>
                <w:sz w:val="20"/>
              </w:rPr>
              <w:t>Limitado</w:t>
            </w:r>
          </w:p>
        </w:tc>
        <w:tc>
          <w:tcPr>
            <w:tcW w:type="dxa" w:w="1872"/>
            <w:shd w:fill="F0F0F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Edge Deployment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Sí (ONNX)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Solo cloud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Parcial</w:t>
            </w:r>
          </w:p>
        </w:tc>
      </w:tr>
      <w:tr>
        <w:tc>
          <w:tcPr>
            <w:tcW w:type="dxa" w:w="1872"/>
            <w:shd w:fill="F0F0F0"/>
          </w:tcPr>
          <w:p>
            <w:r>
              <w:rPr>
                <w:sz w:val="20"/>
              </w:rPr>
              <w:t>Costo inicial</w:t>
            </w:r>
          </w:p>
        </w:tc>
        <w:tc>
          <w:tcPr>
            <w:tcW w:type="dxa" w:w="1872"/>
            <w:shd w:fill="F0F0F0"/>
          </w:tcPr>
          <w:p>
            <w:r>
              <w:rPr>
                <w:sz w:val="20"/>
              </w:rPr>
              <w:t>Bajo (SaaS)</w:t>
            </w:r>
          </w:p>
        </w:tc>
        <w:tc>
          <w:tcPr>
            <w:tcW w:type="dxa" w:w="1872"/>
            <w:shd w:fill="F0F0F0"/>
          </w:tcPr>
          <w:p>
            <w:r>
              <w:rPr>
                <w:sz w:val="20"/>
              </w:rPr>
              <w:t>Alto (€500K+)</w:t>
            </w:r>
          </w:p>
        </w:tc>
        <w:tc>
          <w:tcPr>
            <w:tcW w:type="dxa" w:w="1872"/>
            <w:shd w:fill="F0F0F0"/>
          </w:tcPr>
          <w:p>
            <w:r>
              <w:rPr>
                <w:sz w:val="20"/>
              </w:rPr>
              <w:t>Medio-Alto</w:t>
            </w:r>
          </w:p>
        </w:tc>
        <w:tc>
          <w:tcPr>
            <w:tcW w:type="dxa" w:w="1872"/>
            <w:shd w:fill="F0F0F0"/>
          </w:tcPr>
          <w:p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Flexibilidad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Baja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Media</w:t>
            </w:r>
          </w:p>
        </w:tc>
      </w:tr>
      <w:tr>
        <w:tc>
          <w:tcPr>
            <w:tcW w:type="dxa" w:w="1872"/>
            <w:shd w:fill="F0F0F0"/>
          </w:tcPr>
          <w:p>
            <w:r>
              <w:rPr>
                <w:sz w:val="20"/>
              </w:rPr>
              <w:t>Curva de Aprendizaje</w:t>
            </w:r>
          </w:p>
        </w:tc>
        <w:tc>
          <w:tcPr>
            <w:tcW w:type="dxa" w:w="1872"/>
            <w:shd w:fill="F0F0F0"/>
          </w:tcPr>
          <w:p>
            <w:r>
              <w:rPr>
                <w:sz w:val="20"/>
              </w:rPr>
              <w:t>2-3 semanas</w:t>
            </w:r>
          </w:p>
        </w:tc>
        <w:tc>
          <w:tcPr>
            <w:tcW w:type="dxa" w:w="1872"/>
            <w:shd w:fill="F0F0F0"/>
          </w:tcPr>
          <w:p>
            <w:r>
              <w:rPr>
                <w:sz w:val="20"/>
              </w:rPr>
              <w:t>2-3 meses</w:t>
            </w:r>
          </w:p>
        </w:tc>
        <w:tc>
          <w:tcPr>
            <w:tcW w:type="dxa" w:w="1872"/>
            <w:shd w:fill="F0F0F0"/>
          </w:tcPr>
          <w:p>
            <w:r>
              <w:rPr>
                <w:sz w:val="20"/>
              </w:rPr>
              <w:t>1-2 meses</w:t>
            </w:r>
          </w:p>
        </w:tc>
        <w:tc>
          <w:tcPr>
            <w:tcW w:type="dxa" w:w="1872"/>
            <w:shd w:fill="F0F0F0"/>
          </w:tcPr>
          <w:p>
            <w:r>
              <w:rPr>
                <w:sz w:val="20"/>
              </w:rPr>
              <w:t>2-4 meses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Anomaly Detection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No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065A82"/>
          <w:sz w:val="28"/>
        </w:rPr>
        <w:t>Diferenciadores Clave</w:t>
      </w:r>
    </w:p>
    <w:p>
      <w:pPr>
        <w:pStyle w:val="ListBullet"/>
        <w:spacing w:after="60"/>
        <w:ind w:left="720"/>
      </w:pPr>
      <w:r>
        <w:rPr>
          <w:sz w:val="22"/>
        </w:rPr>
        <w:t>Tecnología Avanzada: DDQN y QMIX multiagente sin competencia directa en mercado</w:t>
      </w:r>
    </w:p>
    <w:p>
      <w:pPr>
        <w:pStyle w:val="ListBullet"/>
        <w:spacing w:after="60"/>
        <w:ind w:left="720"/>
      </w:pPr>
      <w:r>
        <w:rPr>
          <w:sz w:val="22"/>
        </w:rPr>
        <w:t>Precio Disruptivo: 60-70% menos costoso que SCOOT/SCATS legacy</w:t>
      </w:r>
    </w:p>
    <w:p>
      <w:pPr>
        <w:pStyle w:val="ListBullet"/>
        <w:spacing w:after="60"/>
        <w:ind w:left="720"/>
      </w:pPr>
      <w:r>
        <w:rPr>
          <w:sz w:val="22"/>
        </w:rPr>
        <w:t>Facilidad de Despliegue: Puede operar en hardware existente o edge sin nube</w:t>
      </w:r>
    </w:p>
    <w:p>
      <w:pPr>
        <w:pStyle w:val="ListBullet"/>
        <w:spacing w:after="60"/>
        <w:ind w:left="720"/>
      </w:pPr>
      <w:r>
        <w:rPr>
          <w:sz w:val="22"/>
        </w:rPr>
        <w:t>Transparencia del Modelo: Metacognición MUSE explica decisiones de IA (vs black-box competitors)</w:t>
      </w:r>
    </w:p>
    <w:p>
      <w:pPr>
        <w:pStyle w:val="ListBullet"/>
        <w:spacing w:after="60"/>
        <w:ind w:left="720"/>
      </w:pPr>
      <w:r>
        <w:rPr>
          <w:sz w:val="22"/>
        </w:rPr>
        <w:t>Modelos Personalizables: Entrenamiento local en 2-3 semanas vs ciclos de 3-6 meses en competidores</w:t>
      </w:r>
    </w:p>
    <w:p>
      <w:pPr>
        <w:pStyle w:val="ListBullet"/>
        <w:spacing w:after="60"/>
        <w:ind w:left="720"/>
      </w:pPr>
      <w:r>
        <w:rPr>
          <w:sz w:val="22"/>
        </w:rPr>
        <w:t>ROI Rápido: Amortización 12-18 meses vs 24-36 en competidores</w:t>
      </w:r>
    </w:p>
    <w:p>
      <w:pPr>
        <w:pStyle w:val="Heading2"/>
        <w:spacing w:before="200" w:after="80"/>
      </w:pPr>
      <w:r>
        <w:rPr>
          <w:b/>
          <w:color w:val="065A82"/>
          <w:sz w:val="28"/>
        </w:rPr>
        <w:t>Barreras a la Entrada</w:t>
      </w:r>
    </w:p>
    <w:p>
      <w:pPr>
        <w:pStyle w:val="ListBullet"/>
        <w:spacing w:after="60"/>
        <w:ind w:left="720"/>
      </w:pPr>
      <w:r>
        <w:rPr>
          <w:sz w:val="22"/>
        </w:rPr>
        <w:t>IP en Deep RL: Modelos DDQN/QMIX entrenados en datos de tráfico reales</w:t>
      </w:r>
    </w:p>
    <w:p>
      <w:pPr>
        <w:pStyle w:val="ListBullet"/>
        <w:spacing w:after="60"/>
        <w:ind w:left="720"/>
      </w:pPr>
      <w:r>
        <w:rPr>
          <w:sz w:val="22"/>
        </w:rPr>
        <w:t>Relaciones Municipales: Primeros pilotos exitosos crean efecto de red</w:t>
      </w:r>
    </w:p>
    <w:p>
      <w:pPr>
        <w:pStyle w:val="ListBullet"/>
        <w:spacing w:after="60"/>
        <w:ind w:left="720"/>
      </w:pPr>
      <w:r>
        <w:rPr>
          <w:sz w:val="22"/>
        </w:rPr>
        <w:t>Ecosistema de Integración: Partnerships con hardware, cloud, ITS</w:t>
      </w:r>
    </w:p>
    <w:p>
      <w:pPr>
        <w:pStyle w:val="ListBullet"/>
        <w:spacing w:after="60"/>
        <w:ind w:left="720"/>
      </w:pPr>
      <w:r>
        <w:rPr>
          <w:sz w:val="22"/>
        </w:rPr>
        <w:t>Data Advantage: Base de datos histórica de tráfico en múltiples ciudades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065A82"/>
          <w:sz w:val="36"/>
        </w:rPr>
        <w:t>9. EQUIPO Y CONTACTO</w:t>
      </w:r>
    </w:p>
    <w:p>
      <w:pPr>
        <w:pStyle w:val="Heading2"/>
        <w:spacing w:before="200" w:after="80"/>
      </w:pPr>
      <w:r>
        <w:rPr>
          <w:b/>
          <w:color w:val="065A82"/>
          <w:sz w:val="28"/>
        </w:rPr>
        <w:t>Liderazgo</w:t>
      </w:r>
    </w:p>
    <w:p>
      <w:pPr>
        <w:spacing w:line="240" w:lineRule="auto" w:after="120"/>
        <w:jc w:val="both"/>
      </w:pPr>
      <w:r>
        <w:rPr>
          <w:sz w:val="22"/>
        </w:rPr>
        <w:t>Esteban Marco</w:t>
      </w:r>
    </w:p>
    <w:p>
      <w:pPr>
        <w:spacing w:line="240" w:lineRule="auto" w:after="120"/>
        <w:jc w:val="both"/>
      </w:pPr>
      <w:r>
        <w:rPr>
          <w:sz w:val="22"/>
        </w:rPr>
        <w:t>Fundador y CEO</w:t>
      </w:r>
    </w:p>
    <w:p>
      <w:pPr>
        <w:spacing w:line="240" w:lineRule="auto" w:after="120"/>
        <w:jc w:val="both"/>
      </w:pPr>
      <w:r>
        <w:rPr>
          <w:sz w:val="22"/>
        </w:rPr>
        <w:t>Especialista en Deep Reinforcement Learning, sistemas de transporte inteligente, y go-to-market. Experiencia en desarrollo de soluciones ML escalables y comercialización en sector público.</w:t>
      </w:r>
    </w:p>
    <w:p/>
    <w:p>
      <w:pPr>
        <w:pStyle w:val="Heading2"/>
        <w:spacing w:before="200" w:after="80"/>
      </w:pPr>
      <w:r>
        <w:rPr>
          <w:b/>
          <w:color w:val="065A82"/>
          <w:sz w:val="28"/>
        </w:rPr>
        <w:t>Contacto</w:t>
      </w:r>
    </w:p>
    <w:p>
      <w:pPr>
        <w:spacing w:line="240" w:lineRule="auto" w:after="120"/>
        <w:jc w:val="both"/>
      </w:pPr>
      <w:r>
        <w:rPr>
          <w:sz w:val="22"/>
        </w:rPr>
        <w:t>Email: esteban3marco@gmail.com</w:t>
      </w:r>
    </w:p>
    <w:p>
      <w:pPr>
        <w:spacing w:line="240" w:lineRule="auto" w:after="120"/>
        <w:jc w:val="both"/>
      </w:pPr>
      <w:r>
        <w:rPr>
          <w:sz w:val="22"/>
        </w:rPr>
        <w:t>Ubicación: España (expandible a Latinoamérica)</w:t>
      </w:r>
    </w:p>
    <w:p/>
    <w:p>
      <w:pPr>
        <w:pStyle w:val="Heading2"/>
        <w:spacing w:before="200" w:after="80"/>
      </w:pPr>
      <w:r>
        <w:rPr>
          <w:b/>
          <w:color w:val="065A82"/>
          <w:sz w:val="28"/>
        </w:rPr>
        <w:t>Próximos Pasos</w:t>
      </w:r>
    </w:p>
    <w:p>
      <w:pPr>
        <w:spacing w:after="80"/>
        <w:ind w:left="360"/>
      </w:pPr>
      <w:r>
        <w:rPr>
          <w:sz w:val="22"/>
        </w:rPr>
        <w:t>1. Presentación ejecutiva: 30 minutos con demos en tiempo real</w:t>
      </w:r>
    </w:p>
    <w:p>
      <w:pPr>
        <w:spacing w:after="80"/>
        <w:ind w:left="360"/>
      </w:pPr>
      <w:r>
        <w:rPr>
          <w:sz w:val="22"/>
        </w:rPr>
        <w:t>2. Piloto comercial: Instalación en municipio/región objetivo (2-3 meses)</w:t>
      </w:r>
    </w:p>
    <w:p>
      <w:pPr>
        <w:spacing w:after="80"/>
        <w:ind w:left="360"/>
      </w:pPr>
      <w:r>
        <w:rPr>
          <w:sz w:val="22"/>
        </w:rPr>
        <w:t>3. Evaluación de ROI: Medición de impacto en tráfico, emisiones, satisfacción ciudadana</w:t>
      </w:r>
    </w:p>
    <w:p>
      <w:pPr>
        <w:spacing w:after="80"/>
        <w:ind w:left="360"/>
      </w:pPr>
      <w:r>
        <w:rPr>
          <w:sz w:val="22"/>
        </w:rPr>
        <w:t>4. Escalado: Expansión a 5-10 ciudades en año 1 si métricas positivas</w:t>
      </w:r>
    </w:p>
    <w:p>
      <w:pPr>
        <w:spacing w:after="80"/>
        <w:ind w:left="360"/>
      </w:pPr>
      <w:r>
        <w:rPr>
          <w:sz w:val="22"/>
        </w:rPr>
        <w:t>5. Partnership estratégico: Integración con integradores/distribuidores</w:t>
      </w:r>
    </w:p>
    <w:p/>
    <w:p/>
    <w:p>
      <w:pPr>
        <w:jc w:val="center"/>
      </w:pPr>
      <w:r>
        <w:t>__________________________________________________</w:t>
      </w:r>
    </w:p>
    <w:p>
      <w:pPr>
        <w:jc w:val="center"/>
      </w:pPr>
      <w:r>
        <w:rPr>
          <w:i/>
          <w:sz w:val="20"/>
        </w:rPr>
        <w:t>Este documento es confidencial y está destinado únicamente a los destinatarios autorizados. La reproducción, distribución o divulgación sin consentimiento explícito está prohibida.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