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Perfil de vigilancia · Relaciones Institucionales</w:t>
      </w:r>
    </w:p>
    <w:p>
      <w:pPr>
        <w:spacing w:before="80" w:after="160"/>
      </w:pPr>
      <w:r>
        <w:rPr>
          <w:color w:val="465560"/>
          <w:sz w:val="20"/>
          <w:lang w:val="es-AR"/>
        </w:rPr>
        <w:t xml:space="preserve">DOCUMENTO INTERNO · Clasificación: Interna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Propietario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Martín Lagos (Relaciones Institucionales)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Fecha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11/10/2026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Versión / Estado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1.0 · Aprobado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Clasificación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Interna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Destinatarios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Lucía Ferrer (Directora de Administración y Finanzas); Diego Salvatierra (Coordinador de Horizonte 2027); Paula Benítez (Responsable de Planeamiento y Control de Gestión)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Frecuencia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Semanal, los lunes. La primera síntesis cubre del 01/09/2026 al 11/10/2026.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23047"/>
          <w:sz w:val="26"/>
          <w:lang w:val="es-AR"/>
        </w:rPr>
        <w:t xml:space="preserve">Propósito</w:t>
      </w:r>
    </w:p>
    <w:p>
      <w:pPr>
        <w:spacing w:after="100"/>
      </w:pPr>
      <w:r>
        <w:rPr>
          <w:lang w:val="es-AR"/>
        </w:rPr>
        <w:t xml:space="preserve">Anticipar novedades, cambios normativos y señales reputacionales de la cuenca neuquina que puedan afectar la campaña Horizonte 2027 o la reputación de Auren, y entregarlas a Dirección, Horizonte 2027 y Planeamiento en una síntesis breve, con la fuente de cada dato.</w:t>
      </w:r>
    </w:p>
    <w:p>
      <w:pPr>
        <w:keepNext/>
        <w:spacing w:before="200" w:after="80"/>
      </w:pPr>
      <w:r>
        <w:rPr>
          <w:b/>
          <w:color w:val="123047"/>
          <w:sz w:val="26"/>
          <w:lang w:val="es-AR"/>
        </w:rPr>
        <w:t xml:space="preserve">Temas a vigilar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254"/>
      </w:tblGrid>
      <w:tr>
        <w:trPr>
          <w:tblHeader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lang w:val="es-AR"/>
              </w:rPr>
              <w:t xml:space="preserve">Tema</w:t>
            </w:r>
          </w:p>
        </w:tc>
        <w:tc>
          <w:tcPr>
            <w:tcW w:w="72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lang w:val="es-AR"/>
              </w:rPr>
              <w:t xml:space="preserve">Qué se vigila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Regulatorio</w:t>
            </w:r>
          </w:p>
        </w:tc>
        <w:tc>
          <w:tcPr>
            <w:tcW w:w="72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Normas y anuncios de la Nación y de la Provincia del Neuquén sobre hidrocarburos: concesiones, regalías, transporte y evacuación, ambiente.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Operativo del entorno</w:t>
            </w:r>
          </w:p>
        </w:tc>
        <w:tc>
          <w:tcPr>
            <w:tcW w:w="72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Capacidad de evacuación de la cuenca, accesos, logística, insumos y servicios que puedan afectar el cronograma de Horizonte 2027.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Reputacional y social</w:t>
            </w:r>
          </w:p>
        </w:tc>
        <w:tc>
          <w:tcPr>
            <w:tcW w:w="72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Incidentes ambientales, reclamos de comunidades y opinión pública que mencionen a la industria o a las zonas donde opera Auren.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Fiscal y competitivo</w:t>
            </w:r>
          </w:p>
        </w:tc>
        <w:tc>
          <w:tcPr>
            <w:tcW w:w="72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Licitaciones de áreas, recaudación y regalías de la Provincia, como contexto.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23047"/>
          <w:sz w:val="26"/>
          <w:lang w:val="es-AR"/>
        </w:rPr>
        <w:t xml:space="preserve">Niveles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254"/>
        <w:gridCol w:w="3000"/>
      </w:tblGrid>
      <w:tr>
        <w:trPr>
          <w:tblHeader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lang w:val="es-AR"/>
              </w:rPr>
              <w:t xml:space="preserve">Nivel</w:t>
            </w:r>
          </w:p>
        </w:tc>
        <w:tc>
          <w:tcPr>
            <w:tcW w:w="42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lang w:val="es-AR"/>
              </w:rPr>
              <w:t xml:space="preserve">Cuándo se usa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lang w:val="es-AR"/>
              </w:rPr>
              <w:t xml:space="preserve">Qué se hace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ALERTA</w:t>
            </w:r>
          </w:p>
        </w:tc>
        <w:tc>
          <w:tcPr>
            <w:tcW w:w="42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Hecho confirmado (norma publicada, comunicado oficial o hecho comprobado por fuente de confiabilidad alta) con efecto directo posible sobre Horizonte 2027, la operación o la reputación de Auren.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Se informa de inmediato al responsable y a Dirección, con la fuente.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SEGUIMIENTO</w:t>
            </w:r>
          </w:p>
        </w:tc>
        <w:tc>
          <w:tcPr>
            <w:tcW w:w="42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Anuncio, proyecto o trámite en curso, sin norma o confirmación.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Se incluye en la síntesis y se revisa cada semana hasta que se confirme o se descarte.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INFORMATIVO</w:t>
            </w:r>
          </w:p>
        </w:tc>
        <w:tc>
          <w:tcPr>
            <w:tcW w:w="42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Contexto del sector sin efecto directo identificado.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Se incluye en la síntesis, sin acción.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SEÑAL SIN VERIFICAR</w:t>
            </w:r>
          </w:p>
        </w:tc>
        <w:tc>
          <w:tcPr>
            <w:tcW w:w="42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Mensaje, rumor o nota sin fuente confiable.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No se difunde como hecho. Se registra, se verifica con el área que corresponda y recién entonces se clasifica.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23047"/>
          <w:sz w:val="26"/>
          <w:lang w:val="es-AR"/>
        </w:rPr>
        <w:t xml:space="preserve">Confiabilidad de las fuentes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4354"/>
        <w:gridCol w:w="3600"/>
      </w:tblGrid>
      <w:tr>
        <w:trPr>
          <w:tblHeader/>
          <w:jc w:val="center"/>
        </w:trPr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lang w:val="es-AR"/>
              </w:rPr>
              <w:t xml:space="preserve">Confiabilidad</w:t>
            </w:r>
          </w:p>
        </w:tc>
        <w:tc>
          <w:tcPr>
            <w:tcW w:w="4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lang w:val="es-AR"/>
              </w:rPr>
              <w:t xml:space="preserve">Criterio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lang w:val="es-AR"/>
              </w:rPr>
              <w:t xml:space="preserve">Ejemplos</w:t>
            </w:r>
          </w:p>
        </w:tc>
      </w:tr>
      <w:tr>
        <w:trPr>
          <w:cantSplit/>
          <w:jc w:val="center"/>
        </w:trPr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Alta</w:t>
            </w:r>
          </w:p>
        </w:tc>
        <w:tc>
          <w:tcPr>
            <w:tcW w:w="4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Organismo oficial, boletín oficial, comunicado de la empresa o del regulador.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Sitios y boletines oficiales del Estado nacional y provincial.</w:t>
            </w:r>
          </w:p>
        </w:tc>
      </w:tr>
      <w:tr>
        <w:trPr>
          <w:cantSplit/>
          <w:jc w:val="center"/>
        </w:trPr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Media</w:t>
            </w:r>
          </w:p>
        </w:tc>
        <w:tc>
          <w:tcPr>
            <w:tcW w:w="4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Medio periodístico con autor, fecha y fuente citada.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Medios generales y especializados.</w:t>
            </w:r>
          </w:p>
        </w:tc>
      </w:tr>
      <w:tr>
        <w:trPr>
          <w:cantSplit/>
          <w:jc w:val="center"/>
        </w:trPr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Baja</w:t>
            </w:r>
          </w:p>
        </w:tc>
        <w:tc>
          <w:tcPr>
            <w:tcW w:w="4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Sin autor, fecha o fuente. Mensaje reenviado o publicación anónima.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9"/>
                <w:lang w:val="es-AR"/>
              </w:rPr>
              <w:t xml:space="preserve">Cadenas de mensajería y publicaciones anónimas en redes.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23047"/>
          <w:sz w:val="26"/>
          <w:lang w:val="es-AR"/>
        </w:rPr>
        <w:t xml:space="preserve">Formato de la síntesis</w:t>
      </w:r>
    </w:p>
    <w:p>
      <w:pPr>
        <w:tabs>
          <w:tab w:val="left" w:pos="360"/>
        </w:tabs>
        <w:spacing w:after="60"/>
        <w:ind w:left="360" w:hanging="360"/>
      </w:pPr>
      <w:r>
        <w:rPr>
          <w:lang w:val="es-AR"/>
        </w:rPr>
        <w:t xml:space="preserve">•</w:t>
        <w:tab/>
        <w:t xml:space="preserve">Resumen ejecutivo, de hasta 4 líneas.</w:t>
      </w:r>
    </w:p>
    <w:p>
      <w:pPr>
        <w:tabs>
          <w:tab w:val="left" w:pos="360"/>
        </w:tabs>
        <w:spacing w:after="60"/>
        <w:ind w:left="360" w:hanging="360"/>
      </w:pPr>
      <w:r>
        <w:rPr>
          <w:lang w:val="es-AR"/>
        </w:rPr>
        <w:t xml:space="preserve">•</w:t>
        <w:tab/>
        <w:t xml:space="preserve">Novedades, en tabla: Tema, Novedad, Fecha de publicación, Fuente (medio y enlace), Confiabilidad, Nivel y Posible efecto en Horizonte 2027.</w:t>
      </w:r>
    </w:p>
    <w:p>
      <w:pPr>
        <w:tabs>
          <w:tab w:val="left" w:pos="360"/>
        </w:tabs>
        <w:spacing w:after="60"/>
        <w:ind w:left="360" w:hanging="360"/>
      </w:pPr>
      <w:r>
        <w:rPr>
          <w:lang w:val="es-AR"/>
        </w:rPr>
        <w:t xml:space="preserve">•</w:t>
        <w:tab/>
        <w:t xml:space="preserve">Señales sin verificar, con la acción de verificación propuesta.</w:t>
      </w:r>
    </w:p>
    <w:p>
      <w:pPr>
        <w:tabs>
          <w:tab w:val="left" w:pos="360"/>
        </w:tabs>
        <w:spacing w:after="60"/>
        <w:ind w:left="360" w:hanging="360"/>
      </w:pPr>
      <w:r>
        <w:rPr>
          <w:lang w:val="es-AR"/>
        </w:rPr>
        <w:t xml:space="preserve">•</w:t>
        <w:tab/>
        <w:t xml:space="preserve">Pendientes de información y Fuentes (enlace y fecha).</w:t>
      </w:r>
    </w:p>
    <w:p>
      <w:pPr>
        <w:keepNext/>
        <w:spacing w:before="200" w:after="80"/>
      </w:pPr>
      <w:r>
        <w:rPr>
          <w:b/>
          <w:color w:val="123047"/>
          <w:sz w:val="26"/>
          <w:lang w:val="es-AR"/>
        </w:rPr>
        <w:t xml:space="preserve">Reglas</w:t>
      </w:r>
    </w:p>
    <w:p>
      <w:pPr>
        <w:tabs>
          <w:tab w:val="left" w:pos="360"/>
        </w:tabs>
        <w:spacing w:after="60"/>
        <w:ind w:left="360" w:hanging="360"/>
      </w:pPr>
      <w:r>
        <w:rPr>
          <w:lang w:val="es-AR"/>
        </w:rPr>
        <w:t xml:space="preserve">•</w:t>
        <w:tab/>
        <w:t xml:space="preserve">Una novedad sin fecha o sin enlace no entra en la síntesis.</w:t>
      </w:r>
    </w:p>
    <w:p>
      <w:pPr>
        <w:tabs>
          <w:tab w:val="left" w:pos="360"/>
        </w:tabs>
        <w:spacing w:after="60"/>
        <w:ind w:left="360" w:hanging="360"/>
      </w:pPr>
      <w:r>
        <w:rPr>
          <w:lang w:val="es-AR"/>
        </w:rPr>
        <w:t xml:space="preserve">•</w:t>
        <w:tab/>
        <w:t xml:space="preserve">El “Posible efecto en Horizonte 2027” es una inferencia y se marca como tal.</w:t>
      </w:r>
    </w:p>
    <w:p>
      <w:pPr>
        <w:tabs>
          <w:tab w:val="left" w:pos="360"/>
        </w:tabs>
        <w:spacing w:after="60"/>
        <w:ind w:left="360" w:hanging="360"/>
      </w:pPr>
      <w:r>
        <w:rPr>
          <w:lang w:val="es-AR"/>
        </w:rPr>
        <w:t xml:space="preserve">•</w:t>
        <w:tab/>
        <w:t xml:space="preserve">Las cifras económicas se validan con la fuente oficial antes de usarse fuera de Auren (las valida Finanzas).</w:t>
      </w:r>
    </w:p>
    <w:p>
      <w:pPr>
        <w:tabs>
          <w:tab w:val="left" w:pos="360"/>
        </w:tabs>
        <w:spacing w:after="60"/>
        <w:ind w:left="360" w:hanging="360"/>
      </w:pPr>
      <w:r>
        <w:rPr>
          <w:lang w:val="es-AR"/>
        </w:rPr>
        <w:t xml:space="preserve">•</w:t>
        <w:tab/>
        <w:t xml:space="preserve">No se incluyen datos internos de Auren en búsquedas externas.</w:t>
      </w:r>
    </w:p>
    <w:p>
      <w:pPr>
        <w:tabs>
          <w:tab w:val="left" w:pos="360"/>
        </w:tabs>
        <w:spacing w:after="60"/>
        <w:ind w:left="360" w:hanging="360"/>
      </w:pPr>
      <w:r>
        <w:rPr>
          <w:lang w:val="es-AR"/>
        </w:rPr>
        <w:t xml:space="preserve">•</w:t>
        <w:tab/>
        <w:t xml:space="preserve">Todo resultado es BORRADOR hasta que lo revisa y lo aprueba la persona responsable.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