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8" w:space="4" w:color="007F82"/>
        </w:pBdr>
      </w:pPr>
      <w:r>
        <w:rPr>
          <w:b/>
          <w:color w:val="123047"/>
          <w:sz w:val="40"/>
          <w:lang w:val="es-AR"/>
        </w:rPr>
        <w:t>Minuta · Comité de Seguimiento Horizonte 2027</w:t>
      </w:r>
    </w:p>
    <w:p>
      <w:pPr>
        <w:spacing w:after="160" w:before="80"/>
      </w:pPr>
      <w:r>
        <w:rPr>
          <w:b w:val="0"/>
          <w:i w:val="0"/>
          <w:color w:val="465560"/>
          <w:sz w:val="20"/>
          <w:lang w:val="es-AR"/>
        </w:rPr>
        <w:t>Auren Patagonia Energía S.A. · Proyecto Horizonte 2027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Propietario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Diego Salvatierra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Fecha de la reunión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martes 08/09/2026 · 10:00 a 11:00 · Teams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Versión / Estado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1.0 · Aprobado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Clasificación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Interna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Asistentes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Lucía Ferrer, Diego Salvatierra, Paula Benítez, Martín Lagos, Valentina Ríos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23047"/>
          <w:sz w:val="26"/>
          <w:lang w:val="es-AR"/>
        </w:rPr>
        <w:t>Temas tratados</w:t>
      </w:r>
    </w:p>
    <w:p>
      <w:pPr>
        <w:spacing w:after="80"/>
        <w:ind w:left="454" w:hanging="454"/>
      </w:pPr>
      <w:r>
        <w:rPr>
          <w:b w:val="0"/>
          <w:i w:val="0"/>
          <w:lang w:val="es-AR"/>
        </w:rPr>
        <w:t>1.</w:t>
        <w:tab/>
      </w:r>
      <w:r>
        <w:rPr>
          <w:b/>
          <w:i w:val="0"/>
          <w:lang w:val="es-AR"/>
        </w:rPr>
        <w:t>Estado de la preparación.</w:t>
      </w:r>
      <w:r>
        <w:rPr>
          <w:b w:val="0"/>
          <w:i w:val="0"/>
          <w:lang w:val="es-AR"/>
        </w:rPr>
        <w:t xml:space="preserve"> Diego informa que el cronograma vigente es la versión 1.2 (03/09/2026). La campaña prevé ocho pozos en producción durante el primer semestre de 2027, con inicio de perforación del primer pozo el 11/01/2027.</w:t>
      </w:r>
    </w:p>
    <w:p>
      <w:pPr>
        <w:spacing w:after="80"/>
        <w:ind w:left="454" w:hanging="454"/>
      </w:pPr>
      <w:r>
        <w:rPr>
          <w:b w:val="0"/>
          <w:i w:val="0"/>
          <w:lang w:val="es-AR"/>
        </w:rPr>
        <w:t>2.</w:t>
        <w:tab/>
      </w:r>
      <w:r>
        <w:rPr>
          <w:b/>
          <w:i w:val="0"/>
          <w:lang w:val="es-AR"/>
        </w:rPr>
        <w:t>Permisos de acceso.</w:t>
      </w:r>
      <w:r>
        <w:rPr>
          <w:b w:val="0"/>
          <w:i w:val="0"/>
          <w:lang w:val="es-AR"/>
        </w:rPr>
        <w:t xml:space="preserve"> Martín informa que los trámites de las locaciones A (La Meseta) y B (Bajo del Viento) están iniciados. La locación B es la de mayor incertidumbre.</w:t>
      </w:r>
    </w:p>
    <w:p>
      <w:pPr>
        <w:spacing w:after="80"/>
        <w:ind w:left="454" w:hanging="454"/>
      </w:pPr>
      <w:r>
        <w:rPr>
          <w:b w:val="0"/>
          <w:i w:val="0"/>
          <w:lang w:val="es-AR"/>
        </w:rPr>
        <w:t>3.</w:t>
        <w:tab/>
      </w:r>
      <w:r>
        <w:rPr>
          <w:b/>
          <w:i w:val="0"/>
          <w:lang w:val="es-AR"/>
        </w:rPr>
        <w:t>Equipo de perforación.</w:t>
      </w:r>
      <w:r>
        <w:rPr>
          <w:b w:val="0"/>
          <w:i w:val="0"/>
          <w:lang w:val="es-AR"/>
        </w:rPr>
        <w:t xml:space="preserve"> Operaciones todavía no tiene confirmación escrita del contratista sobre la movilización del equipo prevista para el 04/01/2027.</w:t>
      </w:r>
    </w:p>
    <w:p>
      <w:pPr>
        <w:spacing w:after="80"/>
        <w:ind w:left="454" w:hanging="454"/>
      </w:pPr>
      <w:r>
        <w:rPr>
          <w:b w:val="0"/>
          <w:i w:val="0"/>
          <w:lang w:val="es-AR"/>
        </w:rPr>
        <w:t>4.</w:t>
        <w:tab/>
      </w:r>
      <w:r>
        <w:rPr>
          <w:b/>
          <w:i w:val="0"/>
          <w:lang w:val="es-AR"/>
        </w:rPr>
        <w:t>Espacio de trabajo.</w:t>
      </w:r>
      <w:r>
        <w:rPr>
          <w:b w:val="0"/>
          <w:i w:val="0"/>
          <w:lang w:val="es-AR"/>
        </w:rPr>
        <w:t xml:space="preserve"> Valentina recuerda que la documentación del proyecto se concentra en la biblioteca “Proyecto Horizonte 2027” de SharePoint y que debe verificarse el acceso de los integrantes del Comité.</w:t>
      </w:r>
    </w:p>
    <w:p>
      <w:pPr>
        <w:keepNext/>
        <w:spacing w:before="240" w:after="80"/>
      </w:pPr>
      <w:r>
        <w:rPr>
          <w:b/>
          <w:color w:val="123047"/>
          <w:sz w:val="26"/>
          <w:lang w:val="es-AR"/>
        </w:rPr>
        <w:t>Acuerdos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4876"/>
        <w:gridCol w:w="2154"/>
        <w:gridCol w:w="1701"/>
      </w:tblGrid>
      <w:tr>
        <w:trPr>
          <w:tblHeader/>
        </w:trPr>
        <w:tc>
          <w:tcPr>
            <w:tcW w:type="dxa" w:w="624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N.º</w:t>
            </w:r>
          </w:p>
        </w:tc>
        <w:tc>
          <w:tcPr>
            <w:tcW w:type="dxa" w:w="4876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Acuerdo</w:t>
            </w:r>
          </w:p>
        </w:tc>
        <w:tc>
          <w:tcPr>
            <w:tcW w:type="dxa" w:w="2154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Responsable</w:t>
            </w:r>
          </w:p>
        </w:tc>
        <w:tc>
          <w:tcPr>
            <w:tcW w:type="dxa" w:w="1701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Fecha límite</w:t>
            </w:r>
          </w:p>
        </w:tc>
      </w:tr>
      <w:tr>
        <w:tc>
          <w:tcPr>
            <w:tcW w:type="dxa" w:w="6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1</w:t>
            </w:r>
          </w:p>
        </w:tc>
        <w:tc>
          <w:tcPr>
            <w:tcW w:type="dxa" w:w="48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Presentar el estado de los permisos de acceso a las locaciones A y B.</w:t>
            </w:r>
          </w:p>
        </w:tc>
        <w:tc>
          <w:tcPr>
            <w:tcW w:type="dxa" w:w="215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Martín Lagos</w:t>
            </w:r>
          </w:p>
        </w:tc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22/09/2026</w:t>
            </w:r>
          </w:p>
        </w:tc>
      </w:tr>
      <w:tr>
        <w:tc>
          <w:tcPr>
            <w:tcW w:type="dxa" w:w="6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2</w:t>
            </w:r>
          </w:p>
        </w:tc>
        <w:tc>
          <w:tcPr>
            <w:tcW w:type="dxa" w:w="48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Convocar a Operaciones y al contratista de perforación para confirmar la fecha de movilización del equipo.</w:t>
            </w:r>
          </w:p>
        </w:tc>
        <w:tc>
          <w:tcPr>
            <w:tcW w:type="dxa" w:w="215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Diego Salvatierra</w:t>
            </w:r>
          </w:p>
        </w:tc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15/09/2026</w:t>
            </w:r>
          </w:p>
        </w:tc>
      </w:tr>
      <w:tr>
        <w:tc>
          <w:tcPr>
            <w:tcW w:type="dxa" w:w="6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3</w:t>
            </w:r>
          </w:p>
        </w:tc>
        <w:tc>
          <w:tcPr>
            <w:tcW w:type="dxa" w:w="487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Verificar que los integrantes del Comité accedan a la biblioteca “Proyecto Horizonte 2027”.</w:t>
            </w:r>
          </w:p>
        </w:tc>
        <w:tc>
          <w:tcPr>
            <w:tcW w:type="dxa" w:w="215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Valentina Ríos</w:t>
            </w:r>
          </w:p>
        </w:tc>
        <w:tc>
          <w:tcPr>
            <w:tcW w:type="dxa" w:w="170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15/09/2026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23047"/>
          <w:sz w:val="26"/>
          <w:lang w:val="es-AR"/>
        </w:rPr>
        <w:t>Riesgos y alertas mencionados</w:t>
      </w:r>
    </w:p>
    <w:p>
      <w:pPr>
        <w:pStyle w:val="ListBullet"/>
        <w:spacing w:after="40"/>
      </w:pPr>
      <w:r>
        <w:rPr>
          <w:b w:val="0"/>
          <w:i w:val="0"/>
          <w:lang w:val="es-AR"/>
        </w:rPr>
        <w:t>El permiso de la locación B podría demorarse.</w:t>
      </w:r>
    </w:p>
    <w:p>
      <w:pPr>
        <w:pStyle w:val="ListBullet"/>
        <w:spacing w:after="40"/>
      </w:pPr>
      <w:r>
        <w:rPr>
          <w:b w:val="0"/>
          <w:i w:val="0"/>
          <w:lang w:val="es-AR"/>
        </w:rPr>
        <w:t>Sin confirmación escrita del contratista sobre la fecha de movilización del equipo.</w:t>
      </w:r>
    </w:p>
    <w:p>
      <w:pPr>
        <w:spacing w:before="160"/>
      </w:pPr>
      <w:r>
        <w:rPr>
          <w:b/>
          <w:i w:val="0"/>
          <w:lang w:val="es-AR"/>
        </w:rPr>
        <w:t>Próxima reunión:</w:t>
      </w:r>
      <w:r>
        <w:rPr>
          <w:b w:val="0"/>
          <w:i w:val="0"/>
          <w:lang w:val="es-AR"/>
        </w:rPr>
        <w:t xml:space="preserve"> 29/09/2026.</w:t>
      </w:r>
    </w:p>
    <w:sectPr w:rsidR="00FC693F" w:rsidRPr="0006063C" w:rsidSect="00034616">
      <w:footerReference w:type="default" r:id="rId9"/>
      <w:pgSz w:w="11906" w:h="16838"/>
      <w:pgMar w:top="1077" w:right="113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65560"/>
        <w:sz w:val="16"/>
        <w:lang w:val="es-AR"/>
      </w:rPr>
      <w:t>Auren Patagonia Energía S.A. · Empresa ficticia · Material de capacitación · Datos sintéticos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