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7F82"/>
        </w:pBdr>
      </w:pPr>
      <w:r>
        <w:rPr>
          <w:b/>
          <w:color w:val="123047"/>
          <w:sz w:val="40"/>
          <w:lang w:val="es-AR"/>
        </w:rPr>
        <w:t>Minuta · Coordinación con Operaciones y contratista de perforación</w:t>
      </w:r>
    </w:p>
    <w:p>
      <w:pPr>
        <w:spacing w:after="160" w:before="80"/>
      </w:pPr>
      <w:r>
        <w:rPr>
          <w:b w:val="0"/>
          <w:i w:val="0"/>
          <w:color w:val="465560"/>
          <w:sz w:val="20"/>
          <w:lang w:val="es-AR"/>
        </w:rPr>
        <w:t>Auren Patagonia Energía S.A. · Proyecto Horizonte 2027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Propietario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Diego Salvatierra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Fecha de la reunión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martes 15/09/2026 · 15:00 a 16:00 · Teams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Versión / Estado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1.0 · Aprobado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Clasificación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Interna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Asistentes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Diego Salvatierra (coordina), Paula Benítez, Jefatura de Operaciones Añelo, representante del contratista de perforación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23047"/>
          <w:sz w:val="26"/>
          <w:lang w:val="es-AR"/>
        </w:rPr>
        <w:t>Temas tratados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1.</w:t>
        <w:tab/>
      </w:r>
      <w:r>
        <w:rPr>
          <w:b/>
          <w:i w:val="0"/>
          <w:lang w:val="es-AR"/>
        </w:rPr>
        <w:t>Fecha de movilización.</w:t>
      </w:r>
      <w:r>
        <w:rPr>
          <w:b w:val="0"/>
          <w:i w:val="0"/>
          <w:lang w:val="es-AR"/>
        </w:rPr>
        <w:t xml:space="preserve"> El contratista informa que su equipo de perforación quedará libre del trabajo anterior dos semanas más tarde de lo previsto. La movilización a Auren se traslada del 04/01/2027 al 18/01/2027 (14 días).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2.</w:t>
        <w:tab/>
      </w:r>
      <w:r>
        <w:rPr>
          <w:b/>
          <w:i w:val="0"/>
          <w:lang w:val="es-AR"/>
        </w:rPr>
        <w:t>Efecto en el cronograma.</w:t>
      </w:r>
      <w:r>
        <w:rPr>
          <w:b w:val="0"/>
          <w:i w:val="0"/>
          <w:lang w:val="es-AR"/>
        </w:rPr>
        <w:t xml:space="preserve"> Se acuerda emitir una nueva versión del cronograma con la movilización al 18/01/2027 y su efecto en los hitos posteriores. Paula advierte que el margen respecto de la meta de ocho pozos en producción antes del 30/06/2027 se reduce.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3.</w:t>
        <w:tab/>
      </w:r>
      <w:r>
        <w:rPr>
          <w:b/>
          <w:i w:val="0"/>
          <w:lang w:val="es-AR"/>
        </w:rPr>
        <w:t>Insumos críticos.</w:t>
      </w:r>
      <w:r>
        <w:rPr>
          <w:b w:val="0"/>
          <w:i w:val="0"/>
          <w:lang w:val="es-AR"/>
        </w:rPr>
        <w:t xml:space="preserve"> Operaciones debe confirmar la disponibilidad de arena de fractura y tubulares para la nueva secuencia.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4.</w:t>
        <w:tab/>
      </w:r>
      <w:r>
        <w:rPr>
          <w:b/>
          <w:i w:val="0"/>
          <w:lang w:val="es-AR"/>
        </w:rPr>
        <w:t>Recuperación de tiempo.</w:t>
      </w:r>
      <w:r>
        <w:rPr>
          <w:b w:val="0"/>
          <w:i w:val="0"/>
          <w:lang w:val="es-AR"/>
        </w:rPr>
        <w:t xml:space="preserve"> Se plantea la posibilidad de recuperar parte de los 14 días ajustando la secuencia de terminación de los pozos. No se definió plazo para analizarlo.</w:t>
      </w:r>
    </w:p>
    <w:p>
      <w:pPr>
        <w:keepNext/>
        <w:spacing w:before="240" w:after="80"/>
      </w:pPr>
      <w:r>
        <w:rPr>
          <w:b/>
          <w:color w:val="123047"/>
          <w:sz w:val="26"/>
          <w:lang w:val="es-AR"/>
        </w:rPr>
        <w:t>Acuerdos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4876"/>
        <w:gridCol w:w="2154"/>
        <w:gridCol w:w="1701"/>
      </w:tblGrid>
      <w:tr>
        <w:trPr>
          <w:tblHeader/>
        </w:trPr>
        <w:tc>
          <w:tcPr>
            <w:tcW w:type="dxa" w:w="624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N.º</w:t>
            </w:r>
          </w:p>
        </w:tc>
        <w:tc>
          <w:tcPr>
            <w:tcW w:type="dxa" w:w="4876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Acuerdo</w:t>
            </w:r>
          </w:p>
        </w:tc>
        <w:tc>
          <w:tcPr>
            <w:tcW w:type="dxa" w:w="2154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Responsable</w:t>
            </w:r>
          </w:p>
        </w:tc>
        <w:tc>
          <w:tcPr>
            <w:tcW w:type="dxa" w:w="1701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Fecha límite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</w:t>
            </w:r>
          </w:p>
        </w:tc>
        <w:tc>
          <w:tcPr>
            <w:tcW w:type="dxa" w:w="48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Emitir una nueva versión del cronograma con la movilización al 18/01/2027 y su efecto en los hitos posteriores.</w:t>
            </w:r>
          </w:p>
        </w:tc>
        <w:tc>
          <w:tcPr>
            <w:tcW w:type="dxa" w:w="215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Paula Benítez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18/09/2026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2</w:t>
            </w:r>
          </w:p>
        </w:tc>
        <w:tc>
          <w:tcPr>
            <w:tcW w:type="dxa" w:w="48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Remitir el listado de insumos críticos con sus plazos de entrega.</w:t>
            </w:r>
          </w:p>
        </w:tc>
        <w:tc>
          <w:tcPr>
            <w:tcW w:type="dxa" w:w="215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Jefatura de Operaciones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30/09/2026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3</w:t>
            </w:r>
          </w:p>
        </w:tc>
        <w:tc>
          <w:tcPr>
            <w:tcW w:type="dxa" w:w="48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Analizar alternativas para recuperar parte de los 14 días de demora.</w:t>
            </w:r>
          </w:p>
        </w:tc>
        <w:tc>
          <w:tcPr>
            <w:tcW w:type="dxa" w:w="215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Jefatura de Operaciones y contratista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23047"/>
          <w:sz w:val="26"/>
          <w:lang w:val="es-AR"/>
        </w:rPr>
        <w:t>Riesgos y alertas mencionados</w:t>
      </w:r>
    </w:p>
    <w:p>
      <w:pPr>
        <w:pStyle w:val="ListBullet"/>
        <w:spacing w:after="40"/>
      </w:pPr>
      <w:r>
        <w:rPr>
          <w:b w:val="0"/>
          <w:i w:val="0"/>
          <w:lang w:val="es-AR"/>
        </w:rPr>
        <w:t>Demora de 14 días en la movilización del equipo de perforación.</w:t>
      </w:r>
    </w:p>
    <w:p>
      <w:pPr>
        <w:pStyle w:val="ListBullet"/>
        <w:spacing w:after="40"/>
      </w:pPr>
      <w:r>
        <w:rPr>
          <w:b w:val="0"/>
          <w:i w:val="0"/>
          <w:lang w:val="es-AR"/>
        </w:rPr>
        <w:t>Menor margen frente a la meta de ocho pozos en producción antes del 30/06/2027.</w:t>
      </w:r>
    </w:p>
    <w:p>
      <w:pPr>
        <w:pStyle w:val="ListBullet"/>
        <w:spacing w:after="40"/>
      </w:pPr>
      <w:r>
        <w:rPr>
          <w:b w:val="0"/>
          <w:i w:val="0"/>
          <w:lang w:val="es-AR"/>
        </w:rPr>
        <w:t>Plazos de entrega de arena de fractura y tubulares sin confirmar.</w:t>
      </w:r>
    </w:p>
    <w:p>
      <w:pPr>
        <w:spacing w:before="160"/>
      </w:pPr>
      <w:r>
        <w:rPr>
          <w:b/>
          <w:i w:val="0"/>
          <w:lang w:val="es-AR"/>
        </w:rPr>
        <w:t>Próxima reunión:</w:t>
      </w:r>
      <w:r>
        <w:rPr>
          <w:b w:val="0"/>
          <w:i w:val="0"/>
          <w:lang w:val="es-AR"/>
        </w:rPr>
        <w:t xml:space="preserve"> Se coordinará en el Comité de Seguimiento del 29/09/2026.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