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Cronograma Horizonte 2027 · Versión 1.3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Auren Patagonia Energía S.A. · Proyecto Horizonte 2027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Propietario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Paula Benítez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18/09/2026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Versión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1.3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Clasificación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Interna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Estado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Aprobado (Lucía Ferrer, 18/09/2026) · Vigente</w:t>
            </w:r>
          </w:p>
        </w:tc>
      </w:tr>
    </w:tbl>
    <w:p>
      <w:pPr>
        <w:spacing w:after="40"/>
      </w:pPr>
    </w:p>
    <w:p>
      <w:r>
        <w:rPr>
          <w:b/>
          <w:i w:val="0"/>
          <w:lang w:val="es-AR"/>
        </w:rPr>
        <w:t>Meta del programa:</w:t>
      </w:r>
      <w:r>
        <w:rPr>
          <w:b w:val="0"/>
          <w:i w:val="0"/>
          <w:lang w:val="es-AR"/>
        </w:rPr>
        <w:t xml:space="preserve"> ocho pozos en producción antes del 30/06/2027.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4422"/>
        <w:gridCol w:w="2494"/>
        <w:gridCol w:w="1814"/>
      </w:tblGrid>
      <w:tr>
        <w:trPr>
          <w:tblHeader/>
        </w:trPr>
        <w:tc>
          <w:tcPr>
            <w:tcW w:type="dxa" w:w="62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N.º</w:t>
            </w:r>
          </w:p>
        </w:tc>
        <w:tc>
          <w:tcPr>
            <w:tcW w:type="dxa" w:w="4422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Hito</w:t>
            </w:r>
          </w:p>
        </w:tc>
        <w:tc>
          <w:tcPr>
            <w:tcW w:type="dxa" w:w="249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Responsable</w:t>
            </w:r>
          </w:p>
        </w:tc>
        <w:tc>
          <w:tcPr>
            <w:tcW w:type="dxa" w:w="1814"/>
            <w:shd w:val="clear" w:color="auto" w:fill="12304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FFFFFF"/>
                <w:sz w:val="20"/>
                <w:lang w:val="es-AR"/>
              </w:rPr>
              <w:t>Fecha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Permisos de acceso a las locaciones A y B otorgados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Martín Lagos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30/11/2026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Locaciones A y B preparadas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15/12/2026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3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Movilización del equipo de perforación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18/01/2027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4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Inicio de perforación del primer pozo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25/01/2027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5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Primer pozo en producción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08/03/2027</w:t>
            </w:r>
          </w:p>
        </w:tc>
      </w:tr>
      <w:tr>
        <w:tc>
          <w:tcPr>
            <w:tcW w:type="dxa" w:w="62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6</w:t>
            </w:r>
          </w:p>
        </w:tc>
        <w:tc>
          <w:tcPr>
            <w:tcW w:type="dxa" w:w="442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Octavo pozo en producción</w:t>
            </w:r>
          </w:p>
        </w:tc>
        <w:tc>
          <w:tcPr>
            <w:tcW w:type="dxa" w:w="249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Jefatura de Operaciones</w:t>
            </w:r>
          </w:p>
        </w:tc>
        <w:tc>
          <w:tcPr>
            <w:tcW w:type="dxa" w:w="181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val="clear" w:color="auto" w:fill="F4F6F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28/06/2027</w:t>
            </w:r>
          </w:p>
        </w:tc>
      </w:tr>
    </w:tbl>
    <w:p>
      <w:pPr>
        <w:spacing w:after="40"/>
      </w:pPr>
    </w:p>
    <w:p>
      <w:pPr>
        <w:spacing w:before="80"/>
      </w:pPr>
      <w:r>
        <w:rPr>
          <w:b/>
          <w:i w:val="0"/>
          <w:lang w:val="es-AR"/>
        </w:rPr>
        <w:t>Cambios respecto de la versión 1.2:</w:t>
      </w:r>
      <w:r>
        <w:rPr>
          <w:b w:val="0"/>
          <w:i w:val="0"/>
          <w:lang w:val="es-AR"/>
        </w:rPr>
        <w:t xml:space="preserve"> los hitos 3 a 6 se trasladan 14 días por la nueva fecha de movilización informada por el contratista (reunión del 15/09/2026). Los hitos 1 y 2 no cambian. Reemplaza a la versión 1.2.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