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rPr>
          <w:lang w:val="es-AR"/>
        </w:rPr>
      </w:pPr>
      <w:r>
        <w:rPr>
          <w:rFonts w:ascii="Calibri Light" w:hAnsi="Calibri Light" w:cs="Calibri Light"/>
          <w:lang w:val="es-AR"/>
        </w:rPr>
        <w:t>BORRADOR · Resultados de referencia del caso Water Cut</w:t>
      </w:r>
    </w:p>
    <w:p>
      <w:pPr>
        <w:rPr>
          <w:lang w:val="es-AR"/>
        </w:rPr>
      </w:pPr>
      <w:r>
        <w:rPr>
          <w:rFonts w:cs="Calibri Light"/>
          <w:sz w:val="18"/>
          <w:lang w:val="es-AR"/>
        </w:rPr>
        <w:t xml:space="preserve">RESULTADOS DE REFERENCIA · Solo para el presentador · No subir a SharePoint · Clasificación: Pública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256"/>
      </w:tblGrid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Propietario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Paula Benítez (Planeamiento y Control de Gestión)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Período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Enero de 2019 a agosto de 2026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Versión / Estado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0.1 · Borrador, pendiente de revisión</w:t>
            </w:r>
          </w:p>
        </w:tc>
      </w:tr>
      <w:tr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color w:val="123047"/>
                <w:sz w:val="18"/>
                <w:lang w:val="es-AR"/>
              </w:rPr>
              <w:t xml:space="preserve">Elaboración</w:t>
            </w:r>
          </w:p>
        </w:tc>
        <w:tc>
          <w:tcPr>
            <w:tcW w:w="7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Resultado esperado de la demo, calculado de forma independiente con el archivo original de la Secretaría de Energía (WC01 es su recorte). No es la salida de Copilot.</w:t>
            </w:r>
          </w:p>
        </w:tc>
      </w:tr>
    </w:tbl>
    <w:p>
      <w:pPr>
        <w:rPr>
          <w:lang w:val="es-AR"/>
        </w:rPr>
      </w:pPr>
    </w:p>
    <w:p>
      <w:pPr>
        <w:pStyle w:val="Ttulo2"/>
      </w:pPr>
      <w:r>
        <w:rPr>
          <w:rFonts w:ascii="Calibri Light" w:hAnsi="Calibri Light" w:cs="Calibri Light"/>
        </w:rPr>
        <w:t xml:space="preserve">1. Resumen ejecutivo de referencia</w:t>
      </w:r>
    </w:p>
    <w:p>
      <w:pPr>
        <w:rPr>
          <w:lang w:val="es-AR"/>
        </w:rPr>
      </w:pPr>
      <w:r>
        <w:rPr>
          <w:rFonts w:cs="Calibri Light"/>
          <w:b/>
          <w:lang w:val="es-AR"/>
        </w:rPr>
        <w:t xml:space="preserve">BORRADOR</w:t>
      </w:r>
    </w:p>
    <w:p>
      <w:pPr>
        <w:rPr>
          <w:lang w:val="es-AR"/>
        </w:rPr>
      </w:pPr>
      <w:r>
        <w:rPr>
          <w:rFonts w:cs="Calibri Light"/>
          <w:b/>
          <w:lang w:val="es-AR"/>
        </w:rPr>
        <w:t xml:space="preserve">Situación.</w:t>
      </w:r>
      <w:r>
        <w:rPr>
          <w:rFonts w:cs="Calibri Light"/>
          <w:lang w:val="es-AR"/>
        </w:rPr>
        <w:t xml:space="preserve"> El corte de agua de los pozos petrolíferos de Vaca Muerta en Neuquén pasó de 18,8% en enero de 2019 a 32,1% en agosto de 2026. Septiembre de 2024 (30,5%) es un mes atípico: 134 pozos de una empresa no informaron.</w:t>
      </w:r>
    </w:p>
    <w:p>
      <w:pPr>
        <w:rPr>
          <w:lang w:val="es-AR"/>
        </w:rPr>
      </w:pPr>
      <w:r>
        <w:rPr>
          <w:rFonts w:cs="Calibri Light"/>
          <w:b/>
          <w:lang w:val="es-AR"/>
        </w:rPr>
        <w:t xml:space="preserve">Proyección y supuestos.</w:t>
      </w:r>
      <w:r>
        <w:rPr>
          <w:rFonts w:cs="Calibri Light"/>
          <w:lang w:val="es-AR"/>
        </w:rPr>
        <w:t xml:space="preserve"> Con tendencia lineal, el corte de agua de junio de 2027 sería 33,1% (últimos 24 meses, sin septiembre de 2024) o 33,7% (últimos 12 meses).</w:t>
      </w:r>
    </w:p>
    <w:p>
      <w:pPr>
        <w:rPr>
          <w:lang w:val="es-AR"/>
        </w:rPr>
      </w:pPr>
      <w:r>
        <w:rPr>
          <w:rFonts w:cs="Calibri Light"/>
          <w:b/>
          <w:lang w:val="es-AR"/>
        </w:rPr>
        <w:t xml:space="preserve">Seguimiento de pozos.</w:t>
      </w:r>
      <w:r>
        <w:rPr>
          <w:rFonts w:cs="Calibri Light"/>
          <w:lang w:val="es-AR"/>
        </w:rPr>
        <w:t xml:space="preserve"> En agosto de 2026, 107 de 2.223 pozos con petróleo (4,8%) tuvieron 80% o más de corte de agua. Los rangos son referencias del ejercicio.</w:t>
      </w:r>
    </w:p>
    <w:p>
      <w:pPr>
        <w:rPr>
          <w:lang w:val="es-AR"/>
        </w:rPr>
      </w:pPr>
      <w:r>
        <w:rPr>
          <w:rFonts w:cs="Calibri Light"/>
          <w:b/>
          <w:lang w:val="es-AR"/>
        </w:rPr>
        <w:t xml:space="preserve">Límites.</w:t>
      </w:r>
      <w:r>
        <w:rPr>
          <w:rFonts w:cs="Calibri Light"/>
          <w:lang w:val="es-AR"/>
        </w:rPr>
        <w:t xml:space="preserve"> El error medio de la prueba retrospectiva (1,2 a 1,7 puntos) es del orden de la suba proyectada. Son datos públicos del conjunto de la formación, no de pozos de Auren.</w:t>
      </w:r>
    </w:p>
    <w:p>
      <w:pPr>
        <w:rPr>
          <w:lang w:val="es-AR"/>
        </w:rPr>
      </w:pPr>
      <w:r>
        <w:rPr>
          <w:rFonts w:cs="Calibri Light"/>
          <w:sz w:val="18"/>
          <w:lang w:val="es-AR"/>
        </w:rPr>
        <w:t xml:space="preserve">(130 palabras)</w:t>
      </w:r>
    </w:p>
    <w:p>
      <w:pPr>
        <w:pStyle w:val="Ttulo2"/>
      </w:pPr>
      <w:r>
        <w:rPr>
          <w:rFonts w:ascii="Calibri Light" w:hAnsi="Calibri Light" w:cs="Calibri Light"/>
        </w:rPr>
        <w:t xml:space="preserve">2. Serie mensual y mes atípico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2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21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062"/>
        <w:gridCol w:w="3062"/>
      </w:tblGrid>
      <w:tr>
        <w:trPr>
          <w:cantSplit/>
          <w:tblHeader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Corte de agua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Valor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Pozos informados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2019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21,4%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808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2020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22,4%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869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2021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22,5%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1.035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2022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23,4%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1.248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2023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23,8%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1.460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2024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26,9%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1.776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Diciembre de 2025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28,1%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2.138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Agosto de 2026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32,1%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2.401</w:t>
            </w:r>
          </w:p>
        </w:tc>
      </w:tr>
    </w:tbl>
    <w:p>
      <w:pPr>
        <w:rPr>
          <w:lang w:val="es-AR"/>
        </w:rPr>
      </w:pP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062"/>
        <w:gridCol w:w="3062"/>
      </w:tblGrid>
      <w:tr>
        <w:trPr>
          <w:cantSplit/>
          <w:tblHeader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Mes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Pozos informados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Corte de agua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Agosto de 2024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1.680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29,1%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sz w:val="18"/>
                <w:lang w:val="es-AR"/>
              </w:rPr>
              <w:t xml:space="preserve">Septiembre de 2024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sz w:val="18"/>
                <w:lang w:val="es-AR"/>
              </w:rPr>
              <w:t xml:space="preserve">1.576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b/>
                <w:sz w:val="18"/>
                <w:lang w:val="es-AR"/>
              </w:rPr>
              <w:t xml:space="preserve">30,5%</w:t>
            </w:r>
          </w:p>
        </w:tc>
      </w:tr>
      <w:tr>
        <w:trPr>
          <w:cantSplit/>
          <w:jc w:val="center"/>
        </w:trPr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Octubre de 2024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1.733</w:t>
            </w:r>
          </w:p>
        </w:tc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28,8%</w:t>
            </w:r>
          </w:p>
        </w:tc>
      </w:tr>
    </w:tbl>
    <w:p>
      <w:pPr>
        <w:rPr>
          <w:lang w:val="es-AR"/>
        </w:rPr>
      </w:pPr>
    </w:p>
    <w:p>
      <w:pPr>
        <w:rPr>
          <w:lang w:val="es-AR"/>
        </w:rPr>
      </w:pPr>
      <w:r>
        <w:rPr>
          <w:rFonts w:cs="Calibri Light"/>
          <w:lang w:val="es-AR"/>
        </w:rPr>
        <w:t xml:space="preserve">En septiembre de 2024 faltan 134 pozos que tienen registro en agosto y en octubre. Todos son de Shell Argentina S.A. En agosto esos pozos sumaban 164.238 m3 de petróleo y 25.157 m3 de agua (corte de 13,3%). La fuente no indica el motivo de la ausencia. No completar ni estimar esos datos.</w:t>
      </w:r>
    </w:p>
    <w:p>
      <w:pPr>
        <w:pStyle w:val="Ttulo2"/>
      </w:pPr>
      <w:r>
        <w:rPr>
          <w:rFonts w:ascii="Calibri Light" w:hAnsi="Calibri Light" w:cs="Calibri Light"/>
        </w:rPr>
        <w:t xml:space="preserve">3. Método de cálculo: indicador ponderado y promedio simple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4324"/>
      </w:tblGrid>
      <w:tr>
        <w:trPr>
          <w:cantSplit/>
          <w:tblHeader/>
          <w:jc w:val="center"/>
        </w:trPr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Agosto de 2026</w:t>
            </w:r>
          </w:p>
        </w:tc>
        <w:tc>
          <w:tcPr>
            <w:tcW w:w="4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Valor</w:t>
            </w:r>
          </w:p>
        </w:tc>
      </w:tr>
      <w:tr>
        <w:trPr>
          <w:cantSplit/>
          <w:jc w:val="center"/>
        </w:trPr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Petróleo (suma de prod_pet)</w:t>
            </w:r>
          </w:p>
        </w:tc>
        <w:tc>
          <w:tcPr>
            <w:tcW w:w="4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2.986.261,2 m3</w:t>
            </w:r>
          </w:p>
        </w:tc>
      </w:tr>
      <w:tr>
        <w:trPr>
          <w:cantSplit/>
          <w:jc w:val="center"/>
        </w:trPr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Agua (suma de prod_agua)</w:t>
            </w:r>
          </w:p>
        </w:tc>
        <w:tc>
          <w:tcPr>
            <w:tcW w:w="4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1.414.385,9 m3</w:t>
            </w:r>
          </w:p>
        </w:tc>
      </w:tr>
      <w:tr>
        <w:trPr>
          <w:cantSplit/>
          <w:jc w:val="center"/>
        </w:trPr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Corte de agua sobre volúmenes totales (el pedido)</w:t>
            </w:r>
          </w:p>
        </w:tc>
        <w:tc>
          <w:tcPr>
            <w:tcW w:w="4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0,3214 = 32,1%</w:t>
            </w:r>
          </w:p>
        </w:tc>
      </w:tr>
      <w:tr>
        <w:trPr>
          <w:cantSplit/>
          <w:jc w:val="center"/>
        </w:trPr>
        <w:tc>
          <w:tcPr>
            <w:tcW w:w="5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Promedio simple de los cortes de 2.228 pozos con producción (no es el indicador pedido)</w:t>
            </w:r>
          </w:p>
        </w:tc>
        <w:tc>
          <w:tcPr>
            <w:tcW w:w="4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23,9%</w:t>
            </w:r>
          </w:p>
        </w:tc>
      </w:tr>
    </w:tbl>
    <w:p>
      <w:pPr>
        <w:pStyle w:val="Ttulo2"/>
      </w:pPr>
      <w:r>
        <w:rPr>
          <w:rFonts w:ascii="Calibri Light" w:hAnsi="Calibri Light" w:cs="Calibri Light"/>
        </w:rPr>
        <w:t xml:space="preserve">4. Seguimiento de pozos de agosto de 2026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2400"/>
        <w:gridCol w:w="2924"/>
      </w:tblGrid>
      <w:tr>
        <w:trPr>
          <w:cantSplit/>
          <w:tblHeader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Corte de agua del pozo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Pozos</w:t>
            </w:r>
          </w:p>
        </w:tc>
        <w:tc>
          <w:tcPr>
            <w:tcW w:w="29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Porcentaje</w:t>
            </w:r>
          </w:p>
        </w:tc>
      </w:tr>
      <w:tr>
        <w:trPr>
          <w:cantSplit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Menos de 30%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1.586</w:t>
            </w:r>
          </w:p>
        </w:tc>
        <w:tc>
          <w:tcPr>
            <w:tcW w:w="29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71,3%</w:t>
            </w:r>
          </w:p>
        </w:tc>
      </w:tr>
      <w:tr>
        <w:trPr>
          <w:cantSplit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30% a menos de 50%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315</w:t>
            </w:r>
          </w:p>
        </w:tc>
        <w:tc>
          <w:tcPr>
            <w:tcW w:w="29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14,2%</w:t>
            </w:r>
          </w:p>
        </w:tc>
      </w:tr>
      <w:tr>
        <w:trPr>
          <w:cantSplit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50% a menos de 80%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215</w:t>
            </w:r>
          </w:p>
        </w:tc>
        <w:tc>
          <w:tcPr>
            <w:tcW w:w="29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9,7%</w:t>
            </w:r>
          </w:p>
        </w:tc>
      </w:tr>
      <w:tr>
        <w:trPr>
          <w:cantSplit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80% o más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107</w:t>
            </w:r>
          </w:p>
        </w:tc>
        <w:tc>
          <w:tcPr>
            <w:tcW w:w="29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4,8%</w:t>
            </w:r>
          </w:p>
        </w:tc>
      </w:tr>
    </w:tbl>
    <w:p>
      <w:pPr>
        <w:rPr>
          <w:lang w:val="es-AR"/>
        </w:rPr>
      </w:pPr>
    </w:p>
    <w:p>
      <w:pPr>
        <w:rPr>
          <w:lang w:val="es-AR"/>
        </w:rPr>
      </w:pPr>
      <w:r>
        <w:rPr>
          <w:rFonts w:cs="Calibri Light"/>
          <w:lang w:val="es-AR"/>
        </w:rPr>
        <w:t xml:space="preserve">Total: 2.223 pozos con producción de petróleo mayor que cero (el mes tiene 2.401 registros). Los 10 pozos con mayor producción de agua:</w:t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300"/>
        <w:gridCol w:w="2200"/>
        <w:gridCol w:w="1200"/>
        <w:gridCol w:w="1400"/>
        <w:gridCol w:w="1524"/>
      </w:tblGrid>
      <w:tr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idpozo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Empresa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Área de yacimiento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Petróleo (m3)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Agua (m3)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Corte de agua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167360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YPF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BAJO DEL TORO NORTE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7.028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16.821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70,5%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167362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YPF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BAJO DEL TORO NORTE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7.691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13.415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63,6%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166654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PAMPA ENERGIA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RINCON DE ARANDA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767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11.954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94,0%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167359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YPF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BAJO DEL TORO NORTE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5.142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11.808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69,7%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166655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PAMPA ENERGIA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RINCON DE ARANDA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885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10.208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92,0%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167257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PLUSPETROL CUENCA NEUQUINA S.R.L.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BAJO DEL CHOIQUE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6.916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10.164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59,5%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166304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PAMPA ENERGIA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RINCON DE ARANDA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1.090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9.887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90,1%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167255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PLUSPETROL CUENCA NEUQUINA S.R.L.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BAJO DEL CHOIQUE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6.668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9.663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59,2%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167547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YPF S.A.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LA AMARGA CHICA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1.847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8.702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82,5%</w:t>
            </w:r>
          </w:p>
        </w:tc>
      </w:tr>
      <w:tr>
        <w:trPr>
          <w:cantSplit/>
          <w:jc w:val="center"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167413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PLUSPETROL CUENCA NEUQUINA S.R.L.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BAJO DEL CHOIQUE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13.022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8.332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6"/>
                <w:lang w:val="es-AR"/>
              </w:rPr>
              <w:t xml:space="preserve">39,0%</w:t>
            </w:r>
          </w:p>
        </w:tc>
      </w:tr>
    </w:tbl>
    <w:p>
      <w:pPr>
        <w:rPr>
          <w:lang w:val="es-AR"/>
        </w:rPr>
      </w:pPr>
    </w:p>
    <w:p>
      <w:pPr>
        <w:pStyle w:val="Ttulo2"/>
      </w:pPr>
      <w:r>
        <w:rPr>
          <w:rFonts w:ascii="Calibri Light" w:hAnsi="Calibri Light" w:cs="Calibri Light"/>
        </w:rPr>
        <w:t xml:space="preserve">5. Proyección y prueba retrospectiva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2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21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1300"/>
        <w:gridCol w:w="800"/>
        <w:gridCol w:w="1500"/>
        <w:gridCol w:w="1500"/>
        <w:gridCol w:w="1524"/>
      </w:tblGrid>
      <w:tr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Supuesto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Pendiente (pp/mes)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R²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Dic-2026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Jun-2027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Dic-2027</w:t>
            </w:r>
          </w:p>
        </w:tc>
      </w:tr>
      <w:tr>
        <w:trPr>
          <w:cantSplit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A: últimos 24 meses sin sep-2024 (23 datos)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0,17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0,50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32,1%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33,1%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34,1%</w:t>
            </w:r>
          </w:p>
        </w:tc>
      </w:tr>
      <w:tr>
        <w:trPr>
          <w:cantSplit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B: últimos 12 meses (12 datos)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0,22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0,24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32,4%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33,7%</w:t>
            </w:r>
          </w:p>
        </w:tc>
        <w:tc>
          <w:tcPr>
            <w:tcW w:w="1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35,0%</w:t>
            </w:r>
          </w:p>
        </w:tc>
      </w:tr>
    </w:tbl>
    <w:p>
      <w:pPr>
        <w:rPr>
          <w:lang w:val="es-AR"/>
        </w:rPr>
      </w:pP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2200"/>
        <w:gridCol w:w="2200"/>
        <w:gridCol w:w="2224"/>
      </w:tblGrid>
      <w:tr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Agua por cada 100 m3 de petróleo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Dic-2026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Jun-2027</w:t>
            </w:r>
          </w:p>
        </w:tc>
        <w:tc>
          <w:tcPr>
            <w:tcW w:w="2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Dic-2027</w:t>
            </w:r>
          </w:p>
        </w:tc>
      </w:tr>
      <w:tr>
        <w:trPr>
          <w:cantSplit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Real, agosto de 2026: 47,4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</w:p>
        </w:tc>
        <w:tc>
          <w:tcPr>
            <w:tcW w:w="2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</w:p>
        </w:tc>
      </w:tr>
      <w:tr>
        <w:trPr>
          <w:cantSplit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Supuesto 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47,2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49,5</w:t>
            </w:r>
          </w:p>
        </w:tc>
        <w:tc>
          <w:tcPr>
            <w:tcW w:w="2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51,8</w:t>
            </w:r>
          </w:p>
        </w:tc>
      </w:tr>
      <w:tr>
        <w:trPr>
          <w:cantSplit/>
          <w:jc w:val="center"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Supuesto B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47,9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50,8</w:t>
            </w:r>
          </w:p>
        </w:tc>
        <w:tc>
          <w:tcPr>
            <w:tcW w:w="2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53,7</w:t>
            </w:r>
          </w:p>
        </w:tc>
      </w:tr>
    </w:tbl>
    <w:p>
      <w:pPr>
        <w:rPr>
          <w:lang w:val="es-AR"/>
        </w:rPr>
      </w:pPr>
    </w:p>
    <w:tbl>
      <w:tblPr>
        <w:tblW w:w="9524" w:type="dxa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2800"/>
        <w:gridCol w:w="2524"/>
      </w:tblGrid>
      <w:tr>
        <w:trPr>
          <w:cantSplit/>
          <w:tblHeader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Prueba retrospectiva (datos hasta ago-2025)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Error medio absoluto (pp)</w:t>
            </w:r>
          </w:p>
        </w:tc>
        <w:tc>
          <w:tcPr>
            <w:tcW w:w="2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  <w:rPr>
                <w:lang w:val="es-AR"/>
              </w:rPr>
            </w:pPr>
            <w:r>
              <w:rPr>
                <w:rFonts w:cs="Calibri Light"/>
                <w:b/>
                <w:color w:val="FFFFFF"/>
                <w:sz w:val="18"/>
                <w:lang w:val="es-AR"/>
              </w:rPr>
              <w:t xml:space="preserve">Sesgo medio (pp)</w:t>
            </w:r>
          </w:p>
        </w:tc>
      </w:tr>
      <w:tr>
        <w:trPr>
          <w:cantSplit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A: 24 meses sin sep-2024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1,7</w:t>
            </w:r>
          </w:p>
        </w:tc>
        <w:tc>
          <w:tcPr>
            <w:tcW w:w="2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+1,3</w:t>
            </w:r>
          </w:p>
        </w:tc>
      </w:tr>
      <w:tr>
        <w:trPr>
          <w:cantSplit/>
          <w:jc w:val="center"/>
        </w:trPr>
        <w:tc>
          <w:tcPr>
            <w:tcW w:w="4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B: 12 meses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1,2</w:t>
            </w:r>
          </w:p>
        </w:tc>
        <w:tc>
          <w:tcPr>
            <w:tcW w:w="25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30" w:after="30" w:line="240" w:lineRule="auto"/>
              <w:rPr>
                <w:lang w:val="es-AR"/>
              </w:rPr>
            </w:pPr>
            <w:r>
              <w:rPr>
                <w:rFonts w:cs="Calibri Light"/>
                <w:sz w:val="18"/>
                <w:lang w:val="es-AR"/>
              </w:rPr>
              <w:t xml:space="preserve">+0,2</w:t>
            </w:r>
          </w:p>
        </w:tc>
      </w:tr>
    </w:tbl>
    <w:p>
      <w:pPr>
        <w:rPr>
          <w:lang w:val="es-AR"/>
        </w:rPr>
      </w:pPr>
    </w:p>
    <w:p>
      <w:pPr>
        <w:rPr>
          <w:lang w:val="es-AR"/>
        </w:rPr>
      </w:pPr>
      <w:r>
        <w:rPr>
          <w:rFonts w:cs="Calibri Light"/>
          <w:lang w:val="es-AR"/>
        </w:rPr>
        <w:t xml:space="preserve">Sin excluir septiembre de 2024, el error medio del supuesto A sube a 1,8 puntos. Método: mínimos cuadrados con el número de mes (1 a 92) como variable; proyección k meses después de agosto de 2026 con k = 4 (dic-2026), 10 (jun-2027) y 16 (dic-2027). Sesgo positivo: la proyección sobreestima el valor real.</w:t>
      </w:r>
    </w:p>
    <w:p>
      <w:pPr>
        <w:pStyle w:val="Ttulo2"/>
      </w:pPr>
      <w:r>
        <w:rPr>
          <w:rFonts w:ascii="Calibri Light" w:hAnsi="Calibri Light" w:cs="Calibri Light"/>
        </w:rPr>
        <w:t xml:space="preserve">6. Cómo usar este documento como Plan B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Si falla el paso 3: abrir WC03 (la serie mensual) y pedir a Copilot solo el gráfico; seguir con los controles del paso 4 usando las tablas de las secciones 2 y 3.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Si falla el paso 6: mostrar la sección 5 aclarando que es una ejecución anterior y calculada de forma independiente, y seguir con el paso 7.</w:t>
      </w:r>
    </w:p>
    <w:p>
      <w:pPr>
        <w:pStyle w:val="Listaconvietas"/>
        <w:ind w:left="720"/>
        <w:rPr>
          <w:lang w:val="es-AR"/>
        </w:rPr>
      </w:pPr>
      <w:r>
        <w:rPr>
          <w:rFonts w:cs="Calibri Light"/>
          <w:lang w:val="es-AR"/>
        </w:rPr>
        <w:t xml:space="preserve">Para el prompt 5: pegar la tabla de la sección 4 si falta la hoja Pozos_ago_2026.</w:t>
      </w:r>
    </w:p>
    <w:sectPr w:rsidR="000E467A" w:rsidRPr="003F2233" w:rsidSect="00231A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1" w:right="964" w:bottom="102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98B1E" w14:textId="77777777" w:rsidR="009D2840" w:rsidRDefault="009D2840">
      <w:pPr>
        <w:spacing w:after="0" w:line="240" w:lineRule="auto"/>
      </w:pPr>
      <w:r>
        <w:separator/>
      </w:r>
    </w:p>
  </w:endnote>
  <w:endnote w:type="continuationSeparator" w:id="0">
    <w:p w14:paraId="3E47DCB5" w14:textId="77777777" w:rsidR="009D2840" w:rsidRDefault="009D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D230C" w14:textId="77777777" w:rsidR="00C35F40" w:rsidRDefault="00C35F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9011" w14:textId="77777777" w:rsidR="00361172" w:rsidRPr="00123592" w:rsidRDefault="00123592">
    <w:pPr>
      <w:pStyle w:val="Piedepgina"/>
      <w:rPr>
        <w:color w:val="465560"/>
        <w:sz w:val="16"/>
        <w:lang w:val="es-AR"/>
      </w:rPr>
    </w:pPr>
    <w:r>
      <w:rPr>
        <w:noProof/>
        <w:color w:val="465560"/>
        <w:sz w:val="16"/>
        <w:lang w:val="es-AR"/>
      </w:rPr>
      <w:drawing>
        <wp:anchor distT="0" distB="0" distL="114300" distR="114300" simplePos="0" relativeHeight="251658240" behindDoc="1" locked="0" layoutInCell="1" allowOverlap="1" wp14:anchorId="41D8D255" wp14:editId="7BA39DB3">
          <wp:simplePos x="0" y="0"/>
          <wp:positionH relativeFrom="column">
            <wp:posOffset>5885253</wp:posOffset>
          </wp:positionH>
          <wp:positionV relativeFrom="paragraph">
            <wp:posOffset>-236731</wp:posOffset>
          </wp:positionV>
          <wp:extent cx="760638" cy="981592"/>
          <wp:effectExtent l="0" t="0" r="1905" b="0"/>
          <wp:wrapNone/>
          <wp:docPr id="11383899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38995" name="Imagen 11383899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152" cy="9874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23592">
      <w:rPr>
        <w:color w:val="465560"/>
        <w:sz w:val="16"/>
        <w:lang w:val="es-AR"/>
      </w:rPr>
      <w:t xml:space="preserve">Empresa ficticia · Material de capacitación  </w:t>
    </w:r>
  </w:p>
  <w:p w14:paraId="3C8DC620" w14:textId="77777777" w:rsidR="00FC5FDC" w:rsidRPr="00361172" w:rsidRDefault="00361172" w:rsidP="00361172">
    <w:pPr>
      <w:pStyle w:val="Piedepgina"/>
      <w:tabs>
        <w:tab w:val="clear" w:pos="9360"/>
        <w:tab w:val="right" w:pos="8789"/>
      </w:tabs>
      <w:rPr>
        <w:lang w:val="es-AR"/>
      </w:rPr>
    </w:pPr>
    <w:r w:rsidRPr="00361172">
      <w:rPr>
        <w:color w:val="465560"/>
        <w:sz w:val="16"/>
        <w:lang w:val="es-AR"/>
      </w:rPr>
      <w:t>Este documento ha sido generado con la asistenci</w:t>
    </w:r>
    <w:r>
      <w:rPr>
        <w:color w:val="465560"/>
        <w:sz w:val="16"/>
        <w:lang w:val="es-AR"/>
      </w:rPr>
      <w:t>a de inteligencia artificial.</w:t>
    </w:r>
    <w:r>
      <w:rPr>
        <w:color w:val="465560"/>
        <w:sz w:val="16"/>
        <w:lang w:val="es-AR"/>
      </w:rPr>
      <w:tab/>
    </w:r>
    <w:r w:rsidRPr="00361172">
      <w:rPr>
        <w:color w:val="465560"/>
        <w:sz w:val="16"/>
        <w:lang w:val="es-AR"/>
      </w:rPr>
      <w:t xml:space="preserve">   |     </w:t>
    </w:r>
    <w:r>
      <w:fldChar w:fldCharType="begin"/>
    </w:r>
    <w:r w:rsidRPr="00361172">
      <w:rPr>
        <w:lang w:val="es-AR"/>
      </w:rPr>
      <w:instrText>PAGE</w:instrText>
    </w:r>
    <w:r>
      <w:fldChar w:fldCharType="separate"/>
    </w:r>
    <w:r w:rsidR="00231A4A" w:rsidRPr="00361172">
      <w:rPr>
        <w:noProof/>
        <w:lang w:val="es-AR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45F" w14:textId="77777777" w:rsidR="00C35F40" w:rsidRDefault="00C35F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70D3" w14:textId="77777777" w:rsidR="009D2840" w:rsidRDefault="009D2840">
      <w:pPr>
        <w:spacing w:after="0" w:line="240" w:lineRule="auto"/>
      </w:pPr>
      <w:r>
        <w:separator/>
      </w:r>
    </w:p>
  </w:footnote>
  <w:footnote w:type="continuationSeparator" w:id="0">
    <w:p w14:paraId="0BFB026F" w14:textId="77777777" w:rsidR="009D2840" w:rsidRDefault="009D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C2EE" w14:textId="77777777" w:rsidR="00C35F40" w:rsidRDefault="00C35F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D86D" w14:textId="77777777" w:rsidR="00C35F40" w:rsidRDefault="00C35F4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5881" w14:textId="77777777" w:rsidR="00C35F40" w:rsidRDefault="00C35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E18A1"/>
    <w:multiLevelType w:val="hybridMultilevel"/>
    <w:tmpl w:val="344C970E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1599570">
    <w:abstractNumId w:val="8"/>
  </w:num>
  <w:num w:numId="2" w16cid:durableId="333845554">
    <w:abstractNumId w:val="6"/>
  </w:num>
  <w:num w:numId="3" w16cid:durableId="1189677796">
    <w:abstractNumId w:val="5"/>
  </w:num>
  <w:num w:numId="4" w16cid:durableId="587858395">
    <w:abstractNumId w:val="4"/>
  </w:num>
  <w:num w:numId="5" w16cid:durableId="2135705871">
    <w:abstractNumId w:val="7"/>
  </w:num>
  <w:num w:numId="6" w16cid:durableId="292715298">
    <w:abstractNumId w:val="3"/>
  </w:num>
  <w:num w:numId="7" w16cid:durableId="1066689535">
    <w:abstractNumId w:val="2"/>
  </w:num>
  <w:num w:numId="8" w16cid:durableId="1012800885">
    <w:abstractNumId w:val="1"/>
  </w:num>
  <w:num w:numId="9" w16cid:durableId="1759591400">
    <w:abstractNumId w:val="0"/>
  </w:num>
  <w:num w:numId="10" w16cid:durableId="1856381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67A"/>
    <w:rsid w:val="00123592"/>
    <w:rsid w:val="0015074B"/>
    <w:rsid w:val="0015153D"/>
    <w:rsid w:val="001D12A6"/>
    <w:rsid w:val="002006F9"/>
    <w:rsid w:val="00231A4A"/>
    <w:rsid w:val="0029639D"/>
    <w:rsid w:val="00326F90"/>
    <w:rsid w:val="00342049"/>
    <w:rsid w:val="00361172"/>
    <w:rsid w:val="00380D83"/>
    <w:rsid w:val="003F2233"/>
    <w:rsid w:val="00471DED"/>
    <w:rsid w:val="004C3F0D"/>
    <w:rsid w:val="005F00A9"/>
    <w:rsid w:val="0071468D"/>
    <w:rsid w:val="00833CE0"/>
    <w:rsid w:val="008E768B"/>
    <w:rsid w:val="00903011"/>
    <w:rsid w:val="00961CF6"/>
    <w:rsid w:val="009D2840"/>
    <w:rsid w:val="00AA1D8D"/>
    <w:rsid w:val="00AD04B1"/>
    <w:rsid w:val="00B14D86"/>
    <w:rsid w:val="00B47730"/>
    <w:rsid w:val="00B70BAF"/>
    <w:rsid w:val="00C35F40"/>
    <w:rsid w:val="00CB0664"/>
    <w:rsid w:val="00CC392E"/>
    <w:rsid w:val="00DA73CE"/>
    <w:rsid w:val="00FB12C2"/>
    <w:rsid w:val="00FC5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1D3EF5"/>
  <w14:defaultImageDpi w14:val="300"/>
  <w15:docId w15:val="{F074B9A4-C77B-4731-925C-9D3740A0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A4A"/>
    <w:pPr>
      <w:spacing w:after="120"/>
    </w:pPr>
    <w:rPr>
      <w:rFonts w:ascii="Calibri Light" w:hAnsi="Calibri Light"/>
      <w:color w:val="404040" w:themeColor="text1" w:themeTint="BF"/>
    </w:rPr>
  </w:style>
  <w:style w:type="paragraph" w:styleId="Ttulo1">
    <w:name w:val="heading 1"/>
    <w:basedOn w:val="Normal"/>
    <w:next w:val="Normal"/>
    <w:link w:val="Ttulo1Car"/>
    <w:uiPriority w:val="9"/>
    <w:qFormat/>
    <w:rsid w:val="00231A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31A4A"/>
    <w:rPr>
      <w:rFonts w:asciiTheme="majorHAnsi" w:eastAsiaTheme="majorEastAsia" w:hAnsiTheme="majorHAnsi" w:cstheme="majorBidi"/>
      <w:b/>
      <w:bCs/>
      <w:color w:val="244061" w:themeColor="accent1" w:themeShade="80"/>
      <w:sz w:val="3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231A4A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1A4A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580E22-167D-4F93-A46B-5A385EB6CA24}">
  <we:reference id="wa200010453" version="1.0.0.1" store="es-MX" storeType="OMEX"/>
  <we:alternateReferences>
    <we:reference id="wa200010453" version="1.0.0.1" store="" storeType="OMEX"/>
  </we:alternateReferences>
  <we:properties>
    <we:property name="claude.fileId" value="&quot;c3a97b45-8d7a-4850-a5d7-9f481bb3052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12</Pages>
  <Words>4383</Words>
  <Characters>22882</Characters>
  <Application>Microsoft Office Word</Application>
  <DocSecurity>0</DocSecurity>
  <Lines>508</Lines>
  <Paragraphs>284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docente: Resumen de Gestión (borrador 0.2)</vt:lpstr>
      <vt:lpstr/>
    </vt:vector>
  </TitlesOfParts>
  <Manager/>
  <Company/>
  <LinksUpToDate>false</LinksUpToDate>
  <CharactersWithSpaces>26981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WC04 Resultados de referencia</dc:title>
  <dc:subject>Auren Patagonia Energía</dc:subject>
  <dc:creator>Oscar Gerometta</dc:creator>
  <cp:keywords/>
  <dc:description>Borrador generado con asistencia de IA. Empresa ficticia · Material de capacitación.</dc:description>
  <cp:lastModifiedBy>Oscar Gerometta</cp:lastModifiedBy>
  <cp:revision>5</cp:revision>
  <dcterms:created xsi:type="dcterms:W3CDTF">2013-12-23T23:15:00Z</dcterms:created>
  <dcterms:modified xsi:type="dcterms:W3CDTF">2026-10-11T13:06:00Z</dcterms:modified>
  <cp:category/>
</cp:coreProperties>
</file>