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4" w:color="007F82"/>
        </w:pBdr>
        <w:spacing w:after="40"/>
      </w:pPr>
      <w:r>
        <w:rPr>
          <w:b/>
          <w:color w:val="123047"/>
          <w:sz w:val="40"/>
          <w:lang w:val="es-AR"/>
        </w:rPr>
        <w:t xml:space="preserve">PD02 · Pack de fuentes públicas · Capacidad de transporte</w:t>
      </w:r>
    </w:p>
    <w:p>
      <w:pPr>
        <w:spacing w:before="80" w:after="160"/>
      </w:pPr>
      <w:r>
        <w:rPr>
          <w:color w:val="465560"/>
          <w:sz w:val="20"/>
          <w:lang w:val="es-AR"/>
        </w:rPr>
        <w:t xml:space="preserve">MATERIAL DE LA DEMO · PRESENTACIÓN AL DIRECTORIO · Clasificación: Pública</w:t>
      </w:r>
    </w:p>
    <w:tbl>
      <w:tblPr>
        <w:tblW w:w="9354" w:type="dxa"/>
        <w:jc w:val="center"/>
        <w:tblLayout w:type="fixed"/>
        <w:tblLook w:val="04A0" w:firstRow="1" w:lastRow="0" w:firstColumn="1" w:lastColumn="0" w:noHBand="0" w:noVBand="1"/>
      </w:tblPr>
      <w:tblGrid>
        <w:gridCol w:w="2041"/>
        <w:gridCol w:w="7313"/>
      </w:tblGrid>
      <w:tr>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90" w:type="dxa"/>
              <w:left w:w="100" w:type="dxa"/>
              <w:bottom w:w="90" w:type="dxa"/>
              <w:right w:w="100" w:type="dxa"/>
            </w:tcMar>
          </w:tcPr>
          <w:p>
            <w:pPr>
              <w:spacing w:before="20" w:after="20"/>
            </w:pPr>
            <w:r>
              <w:rPr>
                <w:b/>
                <w:color w:val="123047"/>
                <w:sz w:val="20"/>
                <w:lang w:val="es-AR"/>
              </w:rPr>
              <w:t xml:space="preserve">Propietaria</w:t>
            </w:r>
          </w:p>
        </w:tc>
        <w:tc>
          <w:tcPr>
            <w:tcW w:w="731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pPr>
            <w:r>
              <w:rPr>
                <w:sz w:val="20"/>
                <w:lang w:val="es-AR"/>
              </w:rPr>
              <w:t xml:space="preserve">Lucía Ferrer (Administración y Finanzas)</w:t>
            </w:r>
          </w:p>
        </w:tc>
      </w:tr>
      <w:tr>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90" w:type="dxa"/>
              <w:left w:w="100" w:type="dxa"/>
              <w:bottom w:w="90" w:type="dxa"/>
              <w:right w:w="100" w:type="dxa"/>
            </w:tcMar>
          </w:tcPr>
          <w:p>
            <w:pPr>
              <w:spacing w:before="20" w:after="20"/>
            </w:pPr>
            <w:r>
              <w:rPr>
                <w:b/>
                <w:color w:val="123047"/>
                <w:sz w:val="20"/>
                <w:lang w:val="es-AR"/>
              </w:rPr>
              <w:t xml:space="preserve">Verificación</w:t>
            </w:r>
          </w:p>
        </w:tc>
        <w:tc>
          <w:tcPr>
            <w:tcW w:w="731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pPr>
            <w:r>
              <w:rPr>
                <w:sz w:val="20"/>
                <w:lang w:val="es-AR"/>
              </w:rPr>
              <w:t xml:space="preserve">Cada página fue leída el 11/10/2026. Las cifras que difieren entre fuentes se reverificaron ese día (ver la sección 3). Los enlaces pueden cambiar o limitar el acceso: comprobarlos antes de la demo.</w:t>
            </w:r>
          </w:p>
        </w:tc>
      </w:tr>
      <w:tr>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90" w:type="dxa"/>
              <w:left w:w="100" w:type="dxa"/>
              <w:bottom w:w="90" w:type="dxa"/>
              <w:right w:w="100" w:type="dxa"/>
            </w:tcMar>
          </w:tcPr>
          <w:p>
            <w:pPr>
              <w:spacing w:before="20" w:after="20"/>
            </w:pPr>
            <w:r>
              <w:rPr>
                <w:b/>
                <w:color w:val="123047"/>
                <w:sz w:val="20"/>
                <w:lang w:val="es-AR"/>
              </w:rPr>
              <w:t xml:space="preserve">Uso</w:t>
            </w:r>
          </w:p>
        </w:tc>
        <w:tc>
          <w:tcPr>
            <w:tcW w:w="731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pPr>
            <w:r>
              <w:rPr>
                <w:sz w:val="20"/>
                <w:lang w:val="es-AR"/>
              </w:rPr>
              <w:t xml:space="preserve">Material de control (paso 4) y Plan B. No se adjunta al prompt 1: las fuentes las busca Researcher. T1 a T3 se agregan al control y a la corrección. V1 a V14 son solo del presentador.</w:t>
            </w:r>
          </w:p>
        </w:tc>
      </w:tr>
      <w:tr>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4F6F8"/>
            <w:tcMar>
              <w:top w:w="90" w:type="dxa"/>
              <w:left w:w="100" w:type="dxa"/>
              <w:bottom w:w="90" w:type="dxa"/>
              <w:right w:w="100" w:type="dxa"/>
            </w:tcMar>
          </w:tcPr>
          <w:p>
            <w:pPr>
              <w:spacing w:before="20" w:after="20"/>
            </w:pPr>
            <w:r>
              <w:rPr>
                <w:b/>
                <w:color w:val="123047"/>
                <w:sz w:val="20"/>
                <w:lang w:val="es-AR"/>
              </w:rPr>
              <w:t xml:space="preserve">Versión / estado</w:t>
            </w:r>
          </w:p>
        </w:tc>
        <w:tc>
          <w:tcPr>
            <w:tcW w:w="731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pPr>
            <w:r>
              <w:rPr>
                <w:sz w:val="20"/>
                <w:lang w:val="es-AR"/>
              </w:rPr>
              <w:t xml:space="preserve">0.2 · Borrador</w:t>
            </w:r>
          </w:p>
        </w:tc>
      </w:tr>
    </w:tbl>
    <w:p>
      <w:pPr>
        <w:spacing w:after="40"/>
      </w:pPr>
    </w:p>
    <w:p>
      <w:pPr>
        <w:spacing w:after="40"/>
      </w:pPr>
    </w:p>
    <w:p>
      <w:pPr>
        <w:keepNext/>
        <w:spacing w:before="200" w:after="80"/>
      </w:pPr>
      <w:r>
        <w:rPr>
          <w:b/>
          <w:color w:val="123047"/>
          <w:sz w:val="24"/>
          <w:lang w:val="es-AR"/>
        </w:rPr>
        <w:t xml:space="preserve">1. Fuentes del pack</w:t>
      </w:r>
    </w:p>
    <w:tbl>
      <w:tblPr>
        <w:tblW w:w="9354" w:type="dxa"/>
        <w:jc w:val="center"/>
        <w:tblLayout w:type="fixed"/>
        <w:tblLook w:val="04A0" w:firstRow="1" w:lastRow="0" w:firstColumn="1" w:lastColumn="0" w:noHBand="0" w:noVBand="1"/>
      </w:tblPr>
      <w:tblGrid>
        <w:gridCol w:w="485"/>
        <w:gridCol w:w="1844"/>
        <w:gridCol w:w="2232"/>
        <w:gridCol w:w="2620"/>
        <w:gridCol w:w="2173"/>
      </w:tblGrid>
      <w:tr>
        <w:trPr>
          <w:cantSplit/>
          <w:tblHeader/>
          <w:jc w:val="center"/>
        </w:trPr>
        <w:tc>
          <w:tcPr>
            <w:tcW w:w="485"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Id</w:t>
            </w:r>
          </w:p>
        </w:tc>
        <w:tc>
          <w:tcPr>
            <w:tcW w:w="1844"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Medio, autor y fecha</w:t>
            </w:r>
          </w:p>
        </w:tc>
        <w:tc>
          <w:tcPr>
            <w:tcW w:w="2232"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Título</w:t>
            </w:r>
          </w:p>
        </w:tc>
        <w:tc>
          <w:tcPr>
            <w:tcW w:w="2620"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Enlace</w:t>
            </w:r>
          </w:p>
        </w:tc>
        <w:tc>
          <w:tcPr>
            <w:tcW w:w="2173"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Qué aporta</w:t>
            </w:r>
          </w:p>
        </w:tc>
      </w:tr>
      <w:tr>
        <w:trPr>
          <w:cantSplit/>
          <w:jc w:val="center"/>
        </w:trPr>
        <w:tc>
          <w:tcPr>
            <w:tcW w:w="48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F1</w:t>
            </w:r>
          </w:p>
        </w:tc>
        <w:tc>
          <w:tcPr>
            <w:tcW w:w="18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EconoJournal · Laura Hevia · 12/09/2026 (modificada 13/09/2026)</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Vaca Muerta: Neuquén exigirá a las petroleras que garanticen capacidad de transporte antes de adjudicarles nuevas concesiones no convencionales</w:t>
            </w:r>
          </w:p>
        </w:tc>
        <w:tc>
          <w:tcPr>
            <w:tcW w:w="26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https://econojournal.com.ar/oilgas/vaca-muerta-neuquen-exigira-capacidad-de-transporte-antes-de-adjudicarles-concesiones/</w:t>
            </w:r>
          </w:p>
        </w:tc>
        <w:tc>
          <w:tcPr>
            <w:tcW w:w="217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Anuncio del ministro de Energía de Neuquén, Gustavo Medele. Sin norma, resolución, decreto ni fecha de vigencia. Dice que el VMOS está “casi totalmente ocupado” y que el Duplicar de Oldelval también está casi lleno.</w:t>
            </w:r>
          </w:p>
        </w:tc>
      </w:tr>
      <w:tr>
        <w:trPr>
          <w:cantSplit/>
          <w:jc w:val="center"/>
        </w:trPr>
        <w:tc>
          <w:tcPr>
            <w:tcW w:w="48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F2</w:t>
            </w:r>
          </w:p>
        </w:tc>
        <w:tc>
          <w:tcPr>
            <w:tcW w:w="18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iProfesional · Ignacio Ortiz · 16/09/2026</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Sin cañerías no hay concesión: Neuquén frena la tentación especulativa en Vaca Muerta</w:t>
            </w:r>
          </w:p>
        </w:tc>
        <w:tc>
          <w:tcPr>
            <w:tcW w:w="26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https://www.iprofesional.com/energia/464532-neuquen-exige-transporte-para-otorgar-areas-en-vaca-muerta</w:t>
            </w:r>
          </w:p>
        </w:tc>
        <w:tc>
          <w:tcPr>
            <w:tcW w:w="217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Ubica el requisito en etapa de diseño legal, a formalizar por resolución del Ministerio de Energía o decreto del Poder Ejecutivo.</w:t>
            </w:r>
          </w:p>
        </w:tc>
      </w:tr>
      <w:tr>
        <w:trPr>
          <w:cantSplit/>
          <w:jc w:val="center"/>
        </w:trPr>
        <w:tc>
          <w:tcPr>
            <w:tcW w:w="48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T1</w:t>
            </w:r>
          </w:p>
        </w:tc>
        <w:tc>
          <w:tcPr>
            <w:tcW w:w="18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El Economista · sin firma · 23/09/2026</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Tras una inversión de US$ 380 millones, Oldelval y Techint apuran el cuello de botella exportador</w:t>
            </w:r>
          </w:p>
        </w:tc>
        <w:tc>
          <w:tcPr>
            <w:tcW w:w="26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https://eleconomista.com.ar/energia/tras-una-inversion-us-380-millones-oldelval-techint-apuran-cuello-botella-exportador-n98376</w:t>
            </w:r>
          </w:p>
        </w:tc>
        <w:tc>
          <w:tcPr>
            <w:tcW w:w="217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Duplicar Norte (Oldelval): 207 km, US$ 380 millones estimados, +220.000 bbl/d. Operación parcial a fines de 2026 y habilitación definitiva en el primer trimestre de 2027. Dice que Oldelval transporta el 89% del crudo de la cuenca y que Duplicar llegó a 540.000 bbl/d en abril de 2025.</w:t>
            </w:r>
          </w:p>
        </w:tc>
      </w:tr>
      <w:tr>
        <w:trPr>
          <w:cantSplit/>
          <w:jc w:val="center"/>
        </w:trPr>
        <w:tc>
          <w:tcPr>
            <w:tcW w:w="48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T2</w:t>
            </w:r>
          </w:p>
        </w:tc>
        <w:tc>
          <w:tcPr>
            <w:tcW w:w="18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iProfesional · L.I. (colaborador) · 22/10/2025</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Así avanza la obra que puede generar US$15.000 millones al año en exportaciones</w:t>
            </w:r>
          </w:p>
        </w:tc>
        <w:tc>
          <w:tcPr>
            <w:tcW w:w="26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https://www.iprofesional.com/energia/440146-asi-avanza-la-obra-que-puede-generar-us15000-millones-al-ano-en-exportaciones</w:t>
            </w:r>
          </w:p>
        </w:tc>
        <w:tc>
          <w:tcPr>
            <w:tcW w:w="217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VMOS: 180.000 bbl/d en la primera etapa y 550.000 bbl/d en 2027; US$ 3.000 millones; inicio de operaciones hacia fines de 2026. Fuente anterior al período de vigilancia: la fecha es de octubre de 2025. El texto da 437 km y, a la vez, dos tramos que suman 447 km.</w:t>
            </w:r>
          </w:p>
        </w:tc>
      </w:tr>
      <w:tr>
        <w:trPr>
          <w:cantSplit/>
          <w:jc w:val="center"/>
        </w:trPr>
        <w:tc>
          <w:tcPr>
            <w:tcW w:w="48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T3</w:t>
            </w:r>
          </w:p>
        </w:tc>
        <w:tc>
          <w:tcPr>
            <w:tcW w:w="18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iProfesional · Ignacio Ortiz · 09/02/2026</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Vaca Muerta y el gas de invierno: TGS comienza una obra clave de US$700 millones</w:t>
            </w:r>
          </w:p>
        </w:tc>
        <w:tc>
          <w:tcPr>
            <w:tcW w:w="26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https://www.iprofesional.com/energia/447838-vaca-muerta-y-el-gas-de-invierno-tgs-comienza-una-obra-clave-de-us700-millones</w:t>
            </w:r>
          </w:p>
        </w:tc>
        <w:tc>
          <w:tcPr>
            <w:tcW w:w="217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Ampliación del Gasoducto Perito Moreno: de 21 a 35 MMm³/d (+14), unos US$ 700 millones, a cargo de TGS. Obra iniciada el 09/02/2026; operativa para el invierno de 2027 según la nota.</w:t>
            </w:r>
          </w:p>
        </w:tc>
      </w:tr>
    </w:tbl>
    <w:p>
      <w:pPr>
        <w:spacing w:after="40"/>
      </w:pPr>
    </w:p>
    <w:p>
      <w:pPr>
        <w:keepNext/>
        <w:spacing w:before="200" w:after="80"/>
      </w:pPr>
      <w:r>
        <w:rPr>
          <w:b/>
          <w:color w:val="123047"/>
          <w:sz w:val="24"/>
          <w:lang w:val="es-AR"/>
        </w:rPr>
        <w:t xml:space="preserve">2. Fuentes de verificación (solo para el presentador)</w:t>
      </w:r>
    </w:p>
    <w:p>
      <w:pPr>
        <w:spacing w:before="0" w:after="100"/>
      </w:pPr>
      <w:r>
        <w:rPr>
          <w:lang w:val="es-AR"/>
        </w:rPr>
        <w:t xml:space="preserve">Se leyeron el 11/10/2026 para reverificar las cifras que difieren. No se adjuntan a ningún prompt.</w:t>
      </w:r>
    </w:p>
    <w:tbl>
      <w:tblPr>
        <w:tblW w:w="9354" w:type="dxa"/>
        <w:jc w:val="center"/>
        <w:tblLayout w:type="fixed"/>
        <w:tblLook w:val="04A0" w:firstRow="1" w:lastRow="0" w:firstColumn="1" w:lastColumn="0" w:noHBand="0" w:noVBand="1"/>
      </w:tblPr>
      <w:tblGrid>
        <w:gridCol w:w="700"/>
        <w:gridCol w:w="2200"/>
        <w:gridCol w:w="3300"/>
        <w:gridCol w:w="3154"/>
      </w:tblGrid>
      <w:tr>
        <w:trPr>
          <w:cantSplit/>
          <w:tblHeader/>
          <w:jc w:val="center"/>
        </w:trPr>
        <w:tc>
          <w:tcPr>
            <w:tcW w:w="700"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Id</w:t>
            </w:r>
          </w:p>
        </w:tc>
        <w:tc>
          <w:tcPr>
            <w:tcW w:w="2200"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Medio y fecha</w:t>
            </w:r>
          </w:p>
        </w:tc>
        <w:tc>
          <w:tcPr>
            <w:tcW w:w="3300"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Enlace</w:t>
            </w:r>
          </w:p>
        </w:tc>
        <w:tc>
          <w:tcPr>
            <w:tcW w:w="3154"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Qué aporta</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V1</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Sitio del proyecto VMOS (última novedad: 01/06/2026; pie “Copyright 2025”)</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https://vmos.ar/</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Primera etapa de 190.000 bbl/d, prevista para el 3.er trimestre de 2026; segunda de 390.000 bbl/d a mediados de 2027; hasta 550.000 bbl/d (700.000 o 690.000 con ampliaciones); “casi 600 km, en dos tramos”.</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V2</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iProfesional · Ignacio Ortiz · 19/08/2026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https://www.iprofesional.com/energia/462629-termino-la-obra-del-oleoducto-vmos-el-megaproyecto-que-triplicara-la-exportacion-de-crudo</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Obra terminada y “Apto para Funcionar”. Primera etapa de 190.000 bbl/d hacia fines de 2026; 390.000 bbl/d a mediados de 2027; capacidad nominal de 550.000 bbl/d. Primera exportación en las primeras semanas de 2027. 437 km.</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V3</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El Economista · 24/08/2026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https://eleconomista.com.ar/energia/vaca-muerta-quiere-mas-barriles-afuera-vmos-entra-recta-decisiva-n97628</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Tramo terrestre de 437 km terminado y precomisionado; “Apto para Funcionar” en junio; ducto submarino de unos 7 km en preparación. No da capacidad de la primera etapa ni fecha de inicio.</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V4</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Argenports · Redacción · 28/07/2026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https://argenports.com/nota/ypf-confirmo-que-el-primer-buque-de-vmos-partira-entre-fines-de-2026-y-comienzos-de-2027/</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Según YPF, el primer buque partirá entre fines de 2026 y comienzos de 2027. Primera etapa de 180.000 bbl/d.</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V5</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Shale24 · 24/03/2026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https://www.shale24.com/oil-gas/oldelval-vmos-tgs-construyen-tres-salidas-vaca-muerta-evacuar-crudo-gas-liquidos-antes-2027-n816</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Duplicar: 530.000 bbl/d desde marzo de 2025. Duplicar Norte: 209 km, US$ 400 millones, 220.000 bbl/d a fines de 2026 y 500.000 bbl/d en marzo de 2027. VMOS: 180.000 bbl/d en diciembre de 2026 y 390.000 bbl/d en el segundo semestre de 2027. Perito Moreno: de 21 a 35 MMm³/d.</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V6</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Noticias NQN · 24/07/2026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https://www.noticiasnqn.com.ar/noticias/2026/07/24/344839-oldelval-ampliara-la-capacidad-de-transporte-de-petroleo-para-acompanar-el-crecimiento-de-vaca-muerta</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Capacidad actual de Oldelval: 530.000 bbl/d. Ampliación de US$ 25 millones para sumar hasta 200.000 bbl/d interrumpibles (unos 730.000 bbl/d). Sin fecha de finalización.</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V7</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Oldelval · Presentación a inversores (ON Clase 6) · diciembre de 2025</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https://www.bbva.com.ar/content/dam/public-web/argentina/documents/ON_Oldelval_Clase_6_Roadshow.pdf</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Oldelval transporta “más del 75%” del petróleo producido en la Cuenca Neuquina (cifra mínima). No informa la capacidad total de Duplicar.</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V8</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Más Energía (LM Neuquén) · 29/07/2026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https://mase.lmneuquen.com/gas/tgs-tiene-ocho-meses-terminar-la-ampliacion-del-gasoducto-perito-moreno-n1247762</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Perito Moreno: de 21 a 35 MMm³/d (+14, con tres plantas compresoras); unos US$ 800 millones (560 + 220 de obra complementaria); puesta en marcha antes del 01/04/2027.</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V9</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Data Energía · 30/07/2026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https://dataenergia.ar/gas/tgs-tiene-hasta-el-1-de-abril-de-2027-para-la-puesta-en-marcha-de-la-ampliacion-del-gasoducto-perito-moreno-202673014450</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Coincide con V8: 21 a 35 MMm³/d y plazo del 01/04/2027.</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V10</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EconoJournal · 09/02/2026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https://econojournal.com.ar/2026/02/tgs-inicio-la-ampliacion-del-gasoducto-perito-moreno-y-convoco-a-concurso-abierto-para-adjudicar-la-capacidad-incremental/</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Tramo Tratayén–Salliqueló: de 21 a 35 MMm³/d (+14); unos US$ 700 millones; operativo para el invierno de 2027.</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V11</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Mejor Informado · 14/07/2026</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https://www.mejorinformado.com/energia/vmos-encara-ultimo-tramo-obra-abre-puerta-nuevo-salto-exportador-vaca-muerta_1784039356</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VMOS: obra al 70%; 180.000 bbl/d; 550.000 bbl/d en el segundo semestre de 2027. Contradicha por V2 y V3 en el estado de obra.</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V12</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Oil &amp; Gas Journal · 24/07/2025</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https://ogj.com/pipelines-transportation/pipelines/article/55305378/oldelval-launches-duplicar-norte-to-expand-transport-capacity-in-argentinas-vaca-muerta</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Oldelval transporta el 85% del crudo de Vaca Muerta. Duplicar Norte: 207 km.</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V13</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Diario Río Negro · Miquela Danil Juarez · 04/04/2025</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https://www.rionegro.com.ar/energia/de-vaca-muerta-al-mundo-oldelval-puso-en-marcha-el-oleoducto-repotenciado-del-plan-duplicar-4073516/</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Menciona 540.000 barriles sin indicar que sean por día. No da la participación de Oldelval.</w:t>
            </w:r>
          </w:p>
        </w:tc>
      </w:tr>
      <w:tr>
        <w:trPr>
          <w:cantSplit/>
          <w:jc w:val="center"/>
        </w:trPr>
        <w:tc>
          <w:tcPr>
            <w:tcW w:w="7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V14</w:t>
            </w:r>
          </w:p>
        </w:tc>
        <w:tc>
          <w:tcPr>
            <w:tcW w:w="22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Ámbito · 20/10/2025</w:t>
            </w:r>
          </w:p>
        </w:tc>
        <w:tc>
          <w:tcPr>
            <w:tcW w:w="33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https://www.ambito.com/energia/el-gobierno-adjudico-una-megaobra-mas-us780-millones-aumentar-el-transporte-gas-vaca-muerta-n6204015</w:t>
            </w:r>
          </w:p>
        </w:tc>
        <w:tc>
          <w:tcPr>
            <w:tcW w:w="31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Perito Moreno: de 21 a 35 MMm³/d (+14); unos US$ 780 millones; posible segunda fase de +6 MMm³/d. Ubica el plazo en el invierno de 2027 en el texto y en 2026 en la descripción.</w:t>
            </w:r>
          </w:p>
        </w:tc>
      </w:tr>
    </w:tbl>
    <w:p>
      <w:pPr>
        <w:spacing w:after="40"/>
      </w:pPr>
    </w:p>
    <w:p>
      <w:pPr>
        <w:keepNext/>
        <w:spacing w:before="200" w:after="80"/>
      </w:pPr>
      <w:r>
        <w:rPr>
          <w:b/>
          <w:color w:val="123047"/>
          <w:sz w:val="24"/>
          <w:lang w:val="es-AR"/>
        </w:rPr>
        <w:t xml:space="preserve">3. Cifras de referencia decididas (reverificadas el 11/10/2026)</w:t>
      </w:r>
    </w:p>
    <w:p>
      <w:pPr>
        <w:spacing w:before="0" w:after="100"/>
      </w:pPr>
      <w:r>
        <w:rPr>
          <w:lang w:val="es-AR"/>
        </w:rPr>
        <w:t xml:space="preserve">Criterio: 1) la fuente propia de la empresa o del proyecto prevalece sobre la prensa, salvo que esté desactualizada; 2) la fuente más reciente prevalece sobre la anterior; 3) pesa la coincidencia de varias fuentes independientes; 4) si nada permite decidir, se muestran ambas cifras con su fuente. En la demo la cifra de referencia se cita con su fecha y la otra se marca como “diferencia entre fuentes”.</w:t>
      </w:r>
    </w:p>
    <w:tbl>
      <w:tblPr>
        <w:tblW w:w="9354" w:type="dxa"/>
        <w:jc w:val="center"/>
        <w:tblLayout w:type="fixed"/>
        <w:tblLook w:val="04A0" w:firstRow="1" w:lastRow="0" w:firstColumn="1" w:lastColumn="0" w:noHBand="0" w:noVBand="1"/>
      </w:tblPr>
      <w:tblGrid>
        <w:gridCol w:w="1500"/>
        <w:gridCol w:w="2400"/>
        <w:gridCol w:w="2400"/>
        <w:gridCol w:w="3054"/>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Tema</w:t>
            </w:r>
          </w:p>
        </w:tc>
        <w:tc>
          <w:tcPr>
            <w:tcW w:w="2400"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Cifra de referencia</w:t>
            </w:r>
          </w:p>
        </w:tc>
        <w:tc>
          <w:tcPr>
            <w:tcW w:w="2400"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Otras cifras</w:t>
            </w:r>
          </w:p>
        </w:tc>
        <w:tc>
          <w:tcPr>
            <w:tcW w:w="3054" w:type="dxa"/>
            <w:tcBorders>
              <w:top w:val="single" w:sz="4" w:space="0" w:color="D9D9D9"/>
              <w:left w:val="single" w:sz="4" w:space="0" w:color="D9D9D9"/>
              <w:bottom w:val="single" w:sz="4" w:space="0" w:color="D9D9D9"/>
              <w:right w:val="single" w:sz="4" w:space="0" w:color="D9D9D9"/>
            </w:tcBorders>
            <w:shd w:val="clear" w:color="auto" w:fill="123047"/>
            <w:tcMar>
              <w:top w:w="90" w:type="dxa"/>
              <w:left w:w="100" w:type="dxa"/>
              <w:bottom w:w="90" w:type="dxa"/>
              <w:right w:w="100" w:type="dxa"/>
            </w:tcMar>
          </w:tcPr>
          <w:p>
            <w:pPr>
              <w:spacing w:before="40" w:after="40"/>
            </w:pPr>
            <w:r>
              <w:rPr>
                <w:b/>
                <w:color w:val="FFFFFF"/>
                <w:sz w:val="18"/>
                <w:lang w:val="es-AR"/>
              </w:rPr>
              <w:t xml:space="preserve">Motivo</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VMOS · primera etapa</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180.000 bbl/d</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190.000 bbl/d (V1, V2)</w:t>
            </w:r>
          </w:p>
        </w:tc>
        <w:tc>
          <w:tcPr>
            <w:tcW w:w="30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180.000 figura en cuatro notas (T2, V4, V5, V11), una con la voz de YPF de julio de 2026. 190.000 figura en el sitio del proyecto, que además prevé el inicio para el 3.er trimestre de 2026 y no tiene novedades posteriores al 01/06/2026, y en una nota de agosto. No se pudo establecer cuál rige.</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VMOS · inicio</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Entre fines de 2026 y comienzos de 2027, sin fecha confirmada</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3.er trimestre de 2026 (V1)</w:t>
            </w:r>
          </w:p>
        </w:tc>
        <w:tc>
          <w:tcPr>
            <w:tcW w:w="30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V4 (28/07/2026) y V2 (19/08/2026) coinciden; V1 está desactualizada.</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VMOS · segunda etapa y capacidad nominal</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390.000 bbl/d hacia mediados de 2027; 550.000 bbl/d como capacidad nominal, sin fecha confirmada</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550.000 bbl/d “en 2027” (T2); 550.000 bbl/d en el segundo semestre de 2027 (V11)</w:t>
            </w:r>
          </w:p>
        </w:tc>
        <w:tc>
          <w:tcPr>
            <w:tcW w:w="30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V1, V2 y V5 coinciden en 390.000 bbl/d. T2 es anterior al período y V11 contradice a V1 y V2.</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VMOS · estado de obra y longitud</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Tramo terrestre de 437 km terminado y apto para funcionar; falta el ducto submarino (unos 7 km)</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Obra al 70% (V11, 14/07/2026); 447 km (suma de tramos de T2); “casi 600 km” (V1)</w:t>
            </w:r>
          </w:p>
        </w:tc>
        <w:tc>
          <w:tcPr>
            <w:tcW w:w="30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V2 (19/08/2026) y V3 (24/08/2026) son posteriores a V11 y coinciden. Los 437 km figuran en V2, V3, V5 y V11. Los 447 km son una inconsistencia interna de T2. Los “casi 600 km” de V1 no se pudieron conciliar con los 437 km y no se usan.</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Duplicar · capacidad actual</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530.000 bbl/d</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540.000 bbl/d (T1, V13)</w:t>
            </w:r>
          </w:p>
        </w:tc>
        <w:tc>
          <w:tcPr>
            <w:tcW w:w="30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530.000 figura en V5 y V6, ambas de 2026; V6 además suma 200.000 bbl/d y obtiene unos 730.000. 540.000 aparece como proyección en 2024 y como cifra alcanzada en notas sin la voz del operador. En las fuentes leídas no hay una cifra publicada por Oldelval.</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Duplicar Norte</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207 km; unos US$ 380 millones; +220.000 bbl/d; operación parcial a fines de 2026 y definitiva en el primer trimestre de 2027 (T1)</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209 km, US$ 400 millones y 500.000 bbl/d en marzo de 2027 (V5)</w:t>
            </w:r>
          </w:p>
        </w:tc>
        <w:tc>
          <w:tcPr>
            <w:tcW w:w="30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T1 es posterior y los 207 km coinciden con V12. Los 500.000 bbl/d no se repiten en notas posteriores y no se usan.</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Participación de Oldelval</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Más del 75% del petróleo de la cuenca, según la propia empresa (V7, diciembre de 2025)</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89% (T1); 85% del crudo de Vaca Muerta (V12)</w:t>
            </w:r>
          </w:p>
        </w:tc>
        <w:tc>
          <w:tcPr>
            <w:tcW w:w="30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V7 es un documento de la empresa; T1 no atribuye la cifra. Las bases de cálculo no se pudieron conciliar.</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Perito Moreno</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De 21 a 35 MMm³/d (+14); invierno de 2027; plazo de puesta en marcha: 01/04/2027</w:t>
            </w:r>
          </w:p>
        </w:tc>
        <w:tc>
          <w:tcPr>
            <w:tcW w:w="24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26 MMm³/d de capacidad actual</w:t>
            </w:r>
          </w:p>
        </w:tc>
        <w:tc>
          <w:tcPr>
            <w:tcW w:w="305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tcPr>
          <w:p>
            <w:pPr>
              <w:spacing w:before="20" w:after="20" w:line="240" w:lineRule="auto"/>
            </w:pPr>
            <w:r>
              <w:rPr>
                <w:sz w:val="18"/>
                <w:lang w:val="es-AR"/>
              </w:rPr>
              <w:t xml:space="preserve">Seis fuentes coinciden en 21 y 35 (T3, V5, V8, V9, V10, V14). El 26 no figura en ninguna fuente leída y se descarta. La inversión varía (US$ 700 millones en T3 y V10; unos US$ 800 millones en V8 y V9) y no se usa en la demo.</w:t>
            </w:r>
          </w:p>
        </w:tc>
      </w:tr>
    </w:tbl>
    <w:p>
      <w:pPr>
        <w:spacing w:before="200" w:after="100"/>
      </w:pPr>
      <w:r>
        <w:rPr>
          <w:sz w:val="18"/>
          <w:lang w:val="es-AR"/>
        </w:rPr>
        <w:t xml:space="preserve">Quedan abiertos: la capacidad vigente de la primera etapa del VMOS, su fecha confirmada de inicio, la base de cálculo de la participación de Oldelval y la cifra de Duplicar publicada por el operador. Los títulos figuran tal como se publican. Los enlaces se copian tal cual para pegarlos en los prompts.</w:t>
      </w:r>
    </w:p>
    <w:sectPr w:rsidR="00FC693F" w:rsidRPr="0006063C" w:rsidSect="00034616">
      <w:footerReference w:type="default" r:id="rId9"/>
      <w:pgSz w:w="11906" w:h="16838"/>
      <w:pgMar w:top="1077" w:right="113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65560"/>
        <w:sz w:val="16"/>
        <w:lang w:val="es-AR"/>
      </w:rPr>
      <w:t>Auren Patagonia Energía S.A. · Empresa ficticia · Material de capacitación · Datos sintéticos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