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pBdr>
          <w:bottom w:val="single" w:sz="8" w:space="4" w:color="007F82"/>
        </w:pBdr>
      </w:pPr>
      <w:r>
        <w:rPr>
          <w:b/>
          <w:color w:val="123047"/>
          <w:sz w:val="40"/>
          <w:lang w:val="es-AR"/>
        </w:rPr>
        <w:t xml:space="preserve">PD03 · Estado de Horizonte 2027 al 30/09/2026</w:t>
      </w:r>
    </w:p>
    <w:p>
      <w:pPr>
        <w:spacing w:before="80" w:after="160"/>
      </w:pPr>
      <w:r>
        <w:rPr>
          <w:color w:val="465560"/>
          <w:sz w:val="20"/>
          <w:lang w:val="es-AR"/>
        </w:rPr>
        <w:t xml:space="preserve">MATERIAL DE LA DEMO · PRESENTACIÓN AL DIRECTORIO · Clasificación: Interna</w:t>
      </w:r>
    </w:p>
    <w:tbl>
      <w:tblPr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7313"/>
      </w:tblGrid>
      <w:tr>
        <w:trPr>
          <w:cantSplit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  <w:color w:val="123047"/>
                <w:sz w:val="20"/>
                <w:lang w:val="es-AR"/>
              </w:rPr>
              <w:t xml:space="preserve">Propietario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lang w:val="es-AR"/>
              </w:rPr>
              <w:t xml:space="preserve">Diego Salvatierra (coordinador de Horizonte 2027)</w:t>
            </w:r>
          </w:p>
        </w:tc>
      </w:tr>
      <w:tr>
        <w:trPr>
          <w:cantSplit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  <w:color w:val="123047"/>
                <w:sz w:val="20"/>
                <w:lang w:val="es-AR"/>
              </w:rPr>
              <w:t xml:space="preserve">Fecha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lang w:val="es-AR"/>
              </w:rPr>
              <w:t xml:space="preserve">30/09/2026</w:t>
            </w:r>
          </w:p>
        </w:tc>
      </w:tr>
      <w:tr>
        <w:trPr>
          <w:cantSplit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  <w:color w:val="123047"/>
                <w:sz w:val="20"/>
                <w:lang w:val="es-AR"/>
              </w:rPr>
              <w:t xml:space="preserve">Versión / estado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lang w:val="es-AR"/>
              </w:rPr>
              <w:t xml:space="preserve">0.1 · Borrador · Datos sintéticos</w:t>
            </w:r>
          </w:p>
        </w:tc>
      </w:tr>
      <w:tr>
        <w:trPr>
          <w:cantSplit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/>
            </w:pPr>
            <w:r>
              <w:rPr>
                <w:b/>
                <w:color w:val="123047"/>
                <w:sz w:val="20"/>
                <w:lang w:val="es-AR"/>
              </w:rPr>
              <w:t xml:space="preserve">Origen</w:t>
            </w:r>
          </w:p>
        </w:tc>
        <w:tc>
          <w:tcPr>
            <w:tcW w:w="7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/>
            </w:pPr>
            <w:r>
              <w:rPr>
                <w:sz w:val="20"/>
                <w:lang w:val="es-AR"/>
              </w:rPr>
              <w:t xml:space="preserve">Resumen de los datos del informe de avance de septiembre (caso Resumen de Gestión, archivos M02 a M08).</w:t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keepNext/>
        <w:spacing w:before="200" w:after="80"/>
      </w:pPr>
      <w:r>
        <w:rPr>
          <w:b/>
          <w:color w:val="123047"/>
          <w:sz w:val="24"/>
          <w:lang w:val="es-AR"/>
        </w:rPr>
        <w:t xml:space="preserve">1. Cronograma vigente</w:t>
      </w:r>
    </w:p>
    <w:tbl>
      <w:tblPr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3106"/>
        <w:gridCol w:w="2135"/>
        <w:gridCol w:w="2135"/>
        <w:gridCol w:w="1978"/>
      </w:tblGrid>
      <w:tr>
        <w:trPr>
          <w:cantSplit/>
          <w:tblHeader/>
          <w:jc w:val="center"/>
        </w:trPr>
        <w:tc>
          <w:tcPr>
            <w:tcW w:w="31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23047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  <w:lang w:val="es-AR"/>
              </w:rPr>
              <w:t xml:space="preserve">Versión</w:t>
            </w:r>
          </w:p>
        </w:tc>
        <w:tc>
          <w:tcPr>
            <w:tcW w:w="21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23047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  <w:lang w:val="es-AR"/>
              </w:rPr>
              <w:t xml:space="preserve">Estado</w:t>
            </w:r>
          </w:p>
        </w:tc>
        <w:tc>
          <w:tcPr>
            <w:tcW w:w="21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23047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  <w:lang w:val="es-AR"/>
              </w:rPr>
              <w:t xml:space="preserve">Inicio del primer pozo</w:t>
            </w:r>
          </w:p>
        </w:tc>
        <w:tc>
          <w:tcPr>
            <w:tcW w:w="19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23047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  <w:lang w:val="es-AR"/>
              </w:rPr>
              <w:t xml:space="preserve">Octavo pozo</w:t>
            </w:r>
          </w:p>
        </w:tc>
      </w:tr>
      <w:tr>
        <w:trPr>
          <w:cantSplit/>
          <w:jc w:val="center"/>
        </w:trPr>
        <w:tc>
          <w:tcPr>
            <w:tcW w:w="31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sz w:val="18"/>
                <w:lang w:val="es-AR"/>
              </w:rPr>
              <w:t xml:space="preserve">v1.3 (M08), aprobada el 18/09/2026</w:t>
            </w:r>
          </w:p>
        </w:tc>
        <w:tc>
          <w:tcPr>
            <w:tcW w:w="21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sz w:val="18"/>
                <w:lang w:val="es-AR"/>
              </w:rPr>
              <w:t xml:space="preserve">Vigente</w:t>
            </w:r>
          </w:p>
        </w:tc>
        <w:tc>
          <w:tcPr>
            <w:tcW w:w="21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sz w:val="18"/>
                <w:lang w:val="es-AR"/>
              </w:rPr>
              <w:t xml:space="preserve">25/01/2027</w:t>
            </w:r>
          </w:p>
        </w:tc>
        <w:tc>
          <w:tcPr>
            <w:tcW w:w="19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sz w:val="18"/>
                <w:lang w:val="es-AR"/>
              </w:rPr>
              <w:t xml:space="preserve">28/06/2027</w:t>
            </w:r>
          </w:p>
        </w:tc>
      </w:tr>
      <w:tr>
        <w:trPr>
          <w:cantSplit/>
          <w:jc w:val="center"/>
        </w:trPr>
        <w:tc>
          <w:tcPr>
            <w:tcW w:w="31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sz w:val="18"/>
                <w:lang w:val="es-AR"/>
              </w:rPr>
              <w:t xml:space="preserve">v1.2 (M07)</w:t>
            </w:r>
          </w:p>
        </w:tc>
        <w:tc>
          <w:tcPr>
            <w:tcW w:w="21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sz w:val="18"/>
                <w:lang w:val="es-AR"/>
              </w:rPr>
              <w:t xml:space="preserve">Reemplazada. No usar</w:t>
            </w:r>
          </w:p>
        </w:tc>
        <w:tc>
          <w:tcPr>
            <w:tcW w:w="21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sz w:val="18"/>
                <w:lang w:val="es-AR"/>
              </w:rPr>
              <w:t xml:space="preserve">11/01/2027</w:t>
            </w:r>
          </w:p>
        </w:tc>
        <w:tc>
          <w:tcPr>
            <w:tcW w:w="19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sz w:val="18"/>
                <w:lang w:val="es-AR"/>
              </w:rPr>
              <w:t xml:space="preserve">14/06/2027</w:t>
            </w:r>
          </w:p>
        </w:tc>
      </w:tr>
    </w:tbl>
    <w:p>
      <w:pPr>
        <w:spacing w:before="200" w:after="100"/>
      </w:pPr>
      <w:r>
        <w:rPr>
          <w:lang w:val="es-AR"/>
        </w:rPr>
        <w:t xml:space="preserve">Meta: ocho pozos antes del 30/06/2027. Margen con la v1.3: 2 días calendario (28/06/2027 al 30/06/2027). Con la v1.2 era de 16 días. La diferencia es de 14 días, por la demora en la movilización del equipo de perforación (reunión del 15/09/2026).</w:t>
      </w:r>
    </w:p>
    <w:p>
      <w:pPr>
        <w:keepNext/>
        <w:spacing w:before="200" w:after="80"/>
      </w:pPr>
      <w:r>
        <w:rPr>
          <w:b/>
          <w:color w:val="123047"/>
          <w:sz w:val="24"/>
          <w:lang w:val="es-AR"/>
        </w:rPr>
        <w:t xml:space="preserve">2. Acuerdos al 30/09/2026</w:t>
      </w:r>
    </w:p>
    <w:p>
      <w:pPr>
        <w:spacing w:before="0" w:after="100"/>
      </w:pPr>
      <w:r>
        <w:rPr>
          <w:lang w:val="es-AR"/>
        </w:rPr>
        <w:t xml:space="preserve">Nueve acuerdos: 4 cumplidos y 5 abiertos.</w:t>
      </w:r>
    </w:p>
    <w:tbl>
      <w:tblPr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2038"/>
        <w:gridCol w:w="5047"/>
        <w:gridCol w:w="2269"/>
      </w:tblGrid>
      <w:tr>
        <w:trPr>
          <w:cantSplit/>
          <w:tblHeader/>
          <w:jc w:val="center"/>
        </w:trPr>
        <w:tc>
          <w:tcPr>
            <w:tcW w:w="20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23047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  <w:lang w:val="es-AR"/>
              </w:rPr>
              <w:t xml:space="preserve">Situación</w:t>
            </w:r>
          </w:p>
        </w:tc>
        <w:tc>
          <w:tcPr>
            <w:tcW w:w="50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23047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  <w:lang w:val="es-AR"/>
              </w:rPr>
              <w:t xml:space="preserve">Acuerdo</w:t>
            </w:r>
          </w:p>
        </w:tc>
        <w:tc>
          <w:tcPr>
            <w:tcW w:w="22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123047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  <w:lang w:val="es-AR"/>
              </w:rPr>
              <w:t xml:space="preserve">Responsable / fecha límite</w:t>
            </w:r>
          </w:p>
        </w:tc>
      </w:tr>
      <w:tr>
        <w:trPr>
          <w:cantSplit/>
          <w:jc w:val="center"/>
        </w:trPr>
        <w:tc>
          <w:tcPr>
            <w:tcW w:w="20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sz w:val="18"/>
                <w:lang w:val="es-AR"/>
              </w:rPr>
              <w:t xml:space="preserve">Sin evidencia de cumplimiento</w:t>
            </w:r>
          </w:p>
        </w:tc>
        <w:tc>
          <w:tcPr>
            <w:tcW w:w="50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sz w:val="18"/>
                <w:lang w:val="es-AR"/>
              </w:rPr>
              <w:t xml:space="preserve">Remitir el listado de insumos críticos con plazos de entrega</w:t>
            </w:r>
          </w:p>
        </w:tc>
        <w:tc>
          <w:tcPr>
            <w:tcW w:w="22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sz w:val="18"/>
                <w:lang w:val="es-AR"/>
              </w:rPr>
              <w:t xml:space="preserve">Jefatura de Operaciones · 30/09/2026</w:t>
            </w:r>
          </w:p>
        </w:tc>
      </w:tr>
      <w:tr>
        <w:trPr>
          <w:cantSplit/>
          <w:jc w:val="center"/>
        </w:trPr>
        <w:tc>
          <w:tcPr>
            <w:tcW w:w="20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sz w:val="18"/>
                <w:lang w:val="es-AR"/>
              </w:rPr>
              <w:t xml:space="preserve">Abierto sin fecha</w:t>
            </w:r>
          </w:p>
        </w:tc>
        <w:tc>
          <w:tcPr>
            <w:tcW w:w="50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sz w:val="18"/>
                <w:lang w:val="es-AR"/>
              </w:rPr>
              <w:t xml:space="preserve">Analizar alternativas para recuperar parte de los 14 días de demora</w:t>
            </w:r>
          </w:p>
        </w:tc>
        <w:tc>
          <w:tcPr>
            <w:tcW w:w="22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sz w:val="18"/>
                <w:lang w:val="es-AR"/>
              </w:rPr>
              <w:t xml:space="preserve">Jefatura de Operaciones y contratista · Sin fecha definida</w:t>
            </w:r>
          </w:p>
        </w:tc>
      </w:tr>
      <w:tr>
        <w:trPr>
          <w:cantSplit/>
          <w:jc w:val="center"/>
        </w:trPr>
        <w:tc>
          <w:tcPr>
            <w:tcW w:w="20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sz w:val="18"/>
                <w:lang w:val="es-AR"/>
              </w:rPr>
              <w:t xml:space="preserve">Vigente</w:t>
            </w:r>
          </w:p>
        </w:tc>
        <w:tc>
          <w:tcPr>
            <w:tcW w:w="50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sz w:val="18"/>
                <w:lang w:val="es-AR"/>
              </w:rPr>
              <w:t xml:space="preserve">Actualizar el presupuesto de campaña por el cambio de secuencia</w:t>
            </w:r>
          </w:p>
        </w:tc>
        <w:tc>
          <w:tcPr>
            <w:tcW w:w="22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sz w:val="18"/>
                <w:lang w:val="es-AR"/>
              </w:rPr>
              <w:t xml:space="preserve">Paula Benítez · 16/10/2026</w:t>
            </w:r>
          </w:p>
        </w:tc>
      </w:tr>
      <w:tr>
        <w:trPr>
          <w:cantSplit/>
          <w:jc w:val="center"/>
        </w:trPr>
        <w:tc>
          <w:tcPr>
            <w:tcW w:w="20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sz w:val="18"/>
                <w:lang w:val="es-AR"/>
              </w:rPr>
              <w:t xml:space="preserve">Vigente</w:t>
            </w:r>
          </w:p>
        </w:tc>
        <w:tc>
          <w:tcPr>
            <w:tcW w:w="50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sz w:val="18"/>
                <w:lang w:val="es-AR"/>
              </w:rPr>
              <w:t xml:space="preserve">Entregar a Lucía Ferrer el informe de avance de septiembre</w:t>
            </w:r>
          </w:p>
        </w:tc>
        <w:tc>
          <w:tcPr>
            <w:tcW w:w="22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sz w:val="18"/>
                <w:lang w:val="es-AR"/>
              </w:rPr>
              <w:t xml:space="preserve">Diego Salvatierra · 05/10/2026</w:t>
            </w:r>
          </w:p>
        </w:tc>
      </w:tr>
      <w:tr>
        <w:trPr>
          <w:cantSplit/>
          <w:jc w:val="center"/>
        </w:trPr>
        <w:tc>
          <w:tcPr>
            <w:tcW w:w="20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sz w:val="18"/>
                <w:lang w:val="es-AR"/>
              </w:rPr>
              <w:t xml:space="preserve">Vigente</w:t>
            </w:r>
          </w:p>
        </w:tc>
        <w:tc>
          <w:tcPr>
            <w:tcW w:w="50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sz w:val="18"/>
                <w:lang w:val="es-AR"/>
              </w:rPr>
              <w:t xml:space="preserve">Informar el resultado del trámite del permiso de la locación B</w:t>
            </w:r>
          </w:p>
        </w:tc>
        <w:tc>
          <w:tcPr>
            <w:tcW w:w="22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before="20" w:after="20" w:line="240" w:lineRule="auto"/>
            </w:pPr>
            <w:r>
              <w:rPr>
                <w:sz w:val="18"/>
                <w:lang w:val="es-AR"/>
              </w:rPr>
              <w:t xml:space="preserve">Martín Lagos · 30/10/2026</w:t>
            </w:r>
          </w:p>
        </w:tc>
      </w:tr>
    </w:tbl>
    <w:p>
      <w:pPr>
        <w:keepNext/>
        <w:spacing w:before="200" w:after="80"/>
      </w:pPr>
      <w:r>
        <w:rPr>
          <w:b/>
          <w:color w:val="123047"/>
          <w:sz w:val="24"/>
          <w:lang w:val="es-AR"/>
        </w:rPr>
        <w:t xml:space="preserve">3. Riesgos</w:t>
      </w:r>
    </w:p>
    <w:p>
      <w:pPr>
        <w:tabs>
          <w:tab w:val="left" w:pos="540"/>
        </w:tabs>
        <w:spacing w:after="60"/>
        <w:ind w:left="540" w:hanging="270"/>
      </w:pPr>
      <w:r>
        <w:rPr>
          <w:lang w:val="es-AR"/>
        </w:rPr>
        <w:t xml:space="preserve">•</w:t>
      </w:r>
      <w:r>
        <w:rPr>
          <w:lang w:val="es-AR"/>
        </w:rPr>
        <w:tab/>
      </w:r>
      <w:r>
        <w:rPr>
          <w:lang w:val="es-AR"/>
        </w:rPr>
        <w:t xml:space="preserve">Demora de 14 días en la movilización del equipo de perforación. Reduce el margen frente a la meta de 16 a 2 días.</w:t>
      </w:r>
    </w:p>
    <w:p>
      <w:pPr>
        <w:tabs>
          <w:tab w:val="left" w:pos="540"/>
        </w:tabs>
        <w:spacing w:after="60"/>
        <w:ind w:left="540" w:hanging="270"/>
      </w:pPr>
      <w:r>
        <w:rPr>
          <w:lang w:val="es-AR"/>
        </w:rPr>
        <w:t xml:space="preserve">•</w:t>
      </w:r>
      <w:r>
        <w:rPr>
          <w:lang w:val="es-AR"/>
        </w:rPr>
        <w:tab/>
      </w:r>
      <w:r>
        <w:rPr>
          <w:lang w:val="es-AR"/>
        </w:rPr>
        <w:t xml:space="preserve">Permiso de la locación B sin fecha confirmada. La fecha del 30/10/2026 es una estimación de Relaciones Institucionales, no confirmada por la autoridad. Si supera el 30/11/2026 afecta el hito de permisos y la preparación de la locación, prevista para el 15/12/2026.</w:t>
      </w:r>
    </w:p>
    <w:p>
      <w:pPr>
        <w:tabs>
          <w:tab w:val="left" w:pos="540"/>
        </w:tabs>
        <w:spacing w:after="60"/>
        <w:ind w:left="540" w:hanging="270"/>
      </w:pPr>
      <w:r>
        <w:rPr>
          <w:lang w:val="es-AR"/>
        </w:rPr>
        <w:t xml:space="preserve">•</w:t>
      </w:r>
      <w:r>
        <w:rPr>
          <w:lang w:val="es-AR"/>
        </w:rPr>
        <w:tab/>
      </w:r>
      <w:r>
        <w:rPr>
          <w:lang w:val="es-AR"/>
        </w:rPr>
        <w:t xml:space="preserve">Plazos de entrega de arena de fractura y tubulares sin confirmar.</w:t>
      </w:r>
    </w:p>
    <w:p>
      <w:pPr>
        <w:keepNext/>
        <w:spacing w:before="200" w:after="80"/>
      </w:pPr>
      <w:r>
        <w:rPr>
          <w:b/>
          <w:color w:val="123047"/>
          <w:sz w:val="24"/>
          <w:lang w:val="es-AR"/>
        </w:rPr>
        <w:t xml:space="preserve">4. Pendientes de información</w:t>
      </w:r>
    </w:p>
    <w:p>
      <w:pPr>
        <w:tabs>
          <w:tab w:val="left" w:pos="540"/>
        </w:tabs>
        <w:spacing w:after="60"/>
        <w:ind w:left="540" w:hanging="270"/>
      </w:pPr>
      <w:r>
        <w:rPr>
          <w:lang w:val="es-AR"/>
        </w:rPr>
        <w:t xml:space="preserve">•</w:t>
      </w:r>
      <w:r>
        <w:rPr>
          <w:lang w:val="es-AR"/>
        </w:rPr>
        <w:tab/>
      </w:r>
      <w:r>
        <w:rPr>
          <w:lang w:val="es-AR"/>
        </w:rPr>
        <w:t xml:space="preserve">Fecha límite del análisis de alternativas de recuperación.</w:t>
      </w:r>
    </w:p>
    <w:p>
      <w:pPr>
        <w:tabs>
          <w:tab w:val="left" w:pos="540"/>
        </w:tabs>
        <w:spacing w:after="60"/>
        <w:ind w:left="540" w:hanging="270"/>
      </w:pPr>
      <w:r>
        <w:rPr>
          <w:lang w:val="es-AR"/>
        </w:rPr>
        <w:t xml:space="preserve">•</w:t>
      </w:r>
      <w:r>
        <w:rPr>
          <w:lang w:val="es-AR"/>
        </w:rPr>
        <w:tab/>
      </w:r>
      <w:r>
        <w:rPr>
          <w:lang w:val="es-AR"/>
        </w:rPr>
        <w:t xml:space="preserve">Confirmación de entrega del listado de insumos críticos.</w:t>
      </w:r>
    </w:p>
    <w:p>
      <w:pPr>
        <w:tabs>
          <w:tab w:val="left" w:pos="540"/>
        </w:tabs>
        <w:spacing w:after="60"/>
        <w:ind w:left="540" w:hanging="270"/>
      </w:pPr>
      <w:r>
        <w:rPr>
          <w:lang w:val="es-AR"/>
        </w:rPr>
        <w:t xml:space="preserve">•</w:t>
      </w:r>
      <w:r>
        <w:rPr>
          <w:lang w:val="es-AR"/>
        </w:rPr>
        <w:tab/>
      </w:r>
      <w:r>
        <w:rPr>
          <w:lang w:val="es-AR"/>
        </w:rPr>
        <w:t xml:space="preserve">Confirmación oficial de la fecha del permiso de la locación B.</w:t>
      </w:r>
    </w:p>
    <w:p>
      <w:pPr>
        <w:tabs>
          <w:tab w:val="left" w:pos="540"/>
        </w:tabs>
        <w:spacing w:after="60"/>
        <w:ind w:left="540" w:hanging="270"/>
      </w:pPr>
      <w:r>
        <w:rPr>
          <w:lang w:val="es-AR"/>
        </w:rPr>
        <w:t xml:space="preserve">•</w:t>
      </w:r>
      <w:r>
        <w:rPr>
          <w:lang w:val="es-AR"/>
        </w:rPr>
        <w:tab/>
      </w:r>
      <w:r>
        <w:rPr>
          <w:lang w:val="es-AR"/>
        </w:rPr>
        <w:t xml:space="preserve">Cifras de presupuesto (las valida Finanzas; no se incluyen).</w:t>
      </w:r>
    </w:p>
    <w:p>
      <w:pPr>
        <w:tabs>
          <w:tab w:val="left" w:pos="540"/>
        </w:tabs>
        <w:spacing w:after="60"/>
        <w:ind w:left="540" w:hanging="270"/>
      </w:pPr>
      <w:r>
        <w:rPr>
          <w:lang w:val="es-AR"/>
        </w:rPr>
        <w:t xml:space="preserve">•</w:t>
      </w:r>
      <w:r>
        <w:rPr>
          <w:lang w:val="es-AR"/>
        </w:rPr>
        <w:tab/>
      </w:r>
      <w:r>
        <w:rPr>
          <w:b/>
          <w:lang w:val="es-AR"/>
        </w:rPr>
        <w:t xml:space="preserve">Volumen de producción esperado de los ocho pozos y necesidad de transporte asociada: no figura en ningún archivo del material.</w:t>
      </w:r>
    </w:p>
    <w:sectPr w:rsidR="00FC693F" w:rsidRPr="0006063C" w:rsidSect="00034616">
      <w:footerReference w:type="default" r:id="rId9"/>
      <w:pgSz w:w="11906" w:h="16838"/>
      <w:pgMar w:top="1077" w:right="1134" w:bottom="107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65560"/>
        <w:sz w:val="16"/>
        <w:lang w:val="es-AR"/>
      </w:rPr>
      <w:t>Auren Patagonia Energía S.A. · Empresa ficticia · Material de capacitación · Datos sintéticos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color w:val="40404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