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4" w:color="007F82"/>
        </w:pBdr>
        <w:spacing w:after="40"/>
      </w:pPr>
      <w:r>
        <w:rPr>
          <w:b/>
          <w:color w:val="123047"/>
          <w:sz w:val="40"/>
          <w:lang w:val="es-AR"/>
        </w:rPr>
        <w:t xml:space="preserve">PD04 · Resultado de referencia · Solo para el presentador</w:t>
      </w:r>
    </w:p>
    <w:p>
      <w:pPr>
        <w:spacing w:before="80" w:after="160"/>
      </w:pPr>
      <w:r>
        <w:rPr>
          <w:color w:val="465560"/>
          <w:sz w:val="20"/>
          <w:lang w:val="es-AR"/>
        </w:rPr>
        <w:t xml:space="preserve">MATERIAL DE LA DEMO · PRESENTACIÓN AL DIRECTORIO · Clasificación: Interna · No subir a la biblioteca de la demo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Uso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Contraste de los pasos 4, 6, 7 y 9, y Plan B. Copilot no debe ver este archivo.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Versión / estado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0.2 · Borrador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Fuentes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PD02 (F1, F2, T1 a T3, V1 a V14 y cifras de referencia) y PD03.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keepNext/>
        <w:spacing w:before="200" w:after="80"/>
      </w:pPr>
      <w:r>
        <w:rPr>
          <w:b/>
          <w:color w:val="123047"/>
          <w:sz w:val="24"/>
          <w:lang w:val="es-AR"/>
        </w:rPr>
        <w:t xml:space="preserve">1. Esquema de referencia de la presentación (8 diapositivas)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679"/>
        <w:gridCol w:w="2620"/>
        <w:gridCol w:w="6055"/>
      </w:tblGrid>
      <w:tr>
        <w:trPr>
          <w:cantSplit/>
          <w:tblHeader/>
          <w:jc w:val="center"/>
        </w:trPr>
        <w:tc>
          <w:tcPr>
            <w:tcW w:w="6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  <w:lang w:val="es-AR"/>
              </w:rPr>
              <w:t xml:space="preserve">N.º</w:t>
            </w:r>
          </w:p>
        </w:tc>
        <w:tc>
          <w:tcPr>
            <w:tcW w:w="2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  <w:lang w:val="es-AR"/>
              </w:rPr>
              <w:t xml:space="preserve">Título de diapositiva</w:t>
            </w:r>
          </w:p>
        </w:tc>
        <w:tc>
          <w:tcPr>
            <w:tcW w:w="6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  <w:lang w:val="es-AR"/>
              </w:rPr>
              <w:t xml:space="preserve">Contenido que debe figurar</w:t>
            </w:r>
          </w:p>
        </w:tc>
      </w:tr>
      <w:tr>
        <w:trPr>
          <w:cantSplit/>
          <w:jc w:val="center"/>
        </w:trPr>
        <w:tc>
          <w:tcPr>
            <w:tcW w:w="6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1</w:t>
            </w:r>
          </w:p>
        </w:tc>
        <w:tc>
          <w:tcPr>
            <w:tcW w:w="2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Estrategia de capacidad de transporte para Horizonte 2027</w:t>
            </w:r>
          </w:p>
        </w:tc>
        <w:tc>
          <w:tcPr>
            <w:tcW w:w="6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Portada. Propuesta para el Directorio. Sesión del 29/10/2026 (fecha ficticia). BORRADOR.</w:t>
            </w:r>
          </w:p>
        </w:tc>
      </w:tr>
      <w:tr>
        <w:trPr>
          <w:cantSplit/>
          <w:jc w:val="center"/>
        </w:trPr>
        <w:tc>
          <w:tcPr>
            <w:tcW w:w="6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2</w:t>
            </w:r>
          </w:p>
        </w:tc>
        <w:tc>
          <w:tcPr>
            <w:tcW w:w="2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Decisión que se solicita al Directorio (texto confirmado por el autor el 11/10/2026)</w:t>
            </w:r>
          </w:p>
        </w:tc>
        <w:tc>
          <w:tcPr>
            <w:tcW w:w="6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Autorizar a la Dirección de Administración y Finanzas a abrir conversaciones con operadores de transporte para evaluar opciones de capacidad para la producción de los ocho pozos, y a presentar al Directorio las alternativas antes de comprometer capacidad. Sin importes.</w:t>
            </w:r>
          </w:p>
        </w:tc>
      </w:tr>
      <w:tr>
        <w:trPr>
          <w:cantSplit/>
          <w:jc w:val="center"/>
        </w:trPr>
        <w:tc>
          <w:tcPr>
            <w:tcW w:w="6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3</w:t>
            </w:r>
          </w:p>
        </w:tc>
        <w:tc>
          <w:tcPr>
            <w:tcW w:w="2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Qué anunció Neuquén y en qué estado está</w:t>
            </w:r>
          </w:p>
        </w:tc>
        <w:tc>
          <w:tcPr>
            <w:tcW w:w="6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Anuncio del ministro Gustavo Medele (entrevista, nota del 12/09/2026): quien pida una nueva concesión no convencional deberá presentar un plan de evacuación con los ductos. Sin norma publicada; al 16/09/2026 en diseño legal (resolución del Ministerio de Energía o decreto). No se informa cómo se aplicaría a solicitudes pendientes. Efecto sobre Auren: inferencia.</w:t>
            </w:r>
          </w:p>
        </w:tc>
      </w:tr>
      <w:tr>
        <w:trPr>
          <w:cantSplit/>
          <w:jc w:val="center"/>
        </w:trPr>
        <w:tc>
          <w:tcPr>
            <w:tcW w:w="6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4</w:t>
            </w:r>
          </w:p>
        </w:tc>
        <w:tc>
          <w:tcPr>
            <w:tcW w:w="2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Capacidad de transporte de petróleo</w:t>
            </w:r>
          </w:p>
        </w:tc>
        <w:tc>
          <w:tcPr>
            <w:tcW w:w="6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Duplicar: 530.000 bbl/d de capacidad (otra fuente: 540.000). Oldelval transporta más del 75% del petróleo de la cuenca, según la propia empresa (otra fuente: 89%). Duplicar Norte: +220.000 bbl/d; operación parcial a fines de 2026 y definitiva en el primer trimestre de 2027 (El Economista, 23/09/2026). VMOS: 180.000 bbl/d en la primera etapa (otras fuentes: 190.000), 390.000 bbl/d hacia mediados de 2027 y 550.000 bbl/d de capacidad nominal; inicio entre fines de 2026 y comienzos de 2027 (YPF, vía Argenports, 28/07/2026; iProfesional, 19/08/2026). El ministro dijo que el VMOS está casi totalmente ocupado y que el Duplicar también está casi lleno (EconoJournal, 12/09/2026). Diferencias entre fuentes señaladas.</w:t>
            </w:r>
          </w:p>
        </w:tc>
      </w:tr>
      <w:tr>
        <w:trPr>
          <w:cantSplit/>
          <w:jc w:val="center"/>
        </w:trPr>
        <w:tc>
          <w:tcPr>
            <w:tcW w:w="6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5</w:t>
            </w:r>
          </w:p>
        </w:tc>
        <w:tc>
          <w:tcPr>
            <w:tcW w:w="2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Capacidad de transporte de gas</w:t>
            </w:r>
          </w:p>
        </w:tc>
        <w:tc>
          <w:tcPr>
            <w:tcW w:w="6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Gasoducto Perito Moreno: de 21 a 35 MMm³/d (+14); TGS; obra iniciada el 09/02/2026; operativa para el invierno de 2027; plazo de puesta en marcha: 01/04/2027 (iProfesional, 09/02/2026; Más Energía, 29/07/2026).</w:t>
            </w:r>
          </w:p>
        </w:tc>
      </w:tr>
      <w:tr>
        <w:trPr>
          <w:cantSplit/>
          <w:jc w:val="center"/>
        </w:trPr>
        <w:tc>
          <w:tcPr>
            <w:tcW w:w="6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6</w:t>
            </w:r>
          </w:p>
        </w:tc>
        <w:tc>
          <w:tcPr>
            <w:tcW w:w="2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Dónde está Horizonte 2027</w:t>
            </w:r>
          </w:p>
        </w:tc>
        <w:tc>
          <w:tcPr>
            <w:tcW w:w="6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Cronograma v1.3 (aprobado el 18/09/2026): primer pozo 25/01/2027, octavo pozo 28/06/2027. Margen de 2 días frente al 30/06/2027 (con la v1.2 era de 16). Nueve acuerdos: 4 cumplidos y 5 abiertos.</w:t>
            </w:r>
          </w:p>
        </w:tc>
      </w:tr>
      <w:tr>
        <w:trPr>
          <w:cantSplit/>
          <w:jc w:val="center"/>
        </w:trPr>
        <w:tc>
          <w:tcPr>
            <w:tcW w:w="6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7</w:t>
            </w:r>
          </w:p>
        </w:tc>
        <w:tc>
          <w:tcPr>
            <w:tcW w:w="2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Riesgos y datos que faltan</w:t>
            </w:r>
          </w:p>
        </w:tc>
        <w:tc>
          <w:tcPr>
            <w:tcW w:w="6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Riesgos: demora de 14 días; permiso de la locación B estimado y no confirmado; insumos críticos. Datos que faltan: volumen de producción esperado de los ocho pozos (sin dato); norma que formalice el requisito; confirmación de fechas de operación de las obras.</w:t>
            </w:r>
          </w:p>
        </w:tc>
      </w:tr>
      <w:tr>
        <w:trPr>
          <w:cantSplit/>
          <w:jc w:val="center"/>
        </w:trPr>
        <w:tc>
          <w:tcPr>
            <w:tcW w:w="6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8</w:t>
            </w:r>
          </w:p>
        </w:tc>
        <w:tc>
          <w:tcPr>
            <w:tcW w:w="2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Próximos pasos (propuesta)</w:t>
            </w:r>
          </w:p>
        </w:tc>
        <w:tc>
          <w:tcPr>
            <w:tcW w:w="6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Reunir el volumen esperado de producción (Planeamiento). Seguir la norma de Neuquén (Relaciones Institucionales). Validar importes antes de volver al Directorio (Finanzas). Volver al Directorio con alternativas.</w:t>
            </w:r>
          </w:p>
        </w:tc>
      </w:tr>
    </w:tbl>
    <w:p>
      <w:pPr>
        <w:keepNext/>
        <w:spacing w:before="200" w:after="80"/>
      </w:pPr>
      <w:r>
        <w:rPr>
          <w:b/>
          <w:color w:val="123047"/>
          <w:sz w:val="24"/>
          <w:lang w:val="es-AR"/>
        </w:rPr>
        <w:t xml:space="preserve">2. Qué se espera del apunte base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Una a dos páginas en Word, con secciones: pedido, situación del anuncio, infraestructura de petróleo, infraestructura de gas, estado de Horizonte 2027, riesgos, pendientes de información, decisión propuesta y fuentes.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Cada cifra con fecha y fuente. Las inferencias, marcadas. “Sin dato” donde falta información.</w:t>
      </w:r>
    </w:p>
    <w:p>
      <w:pPr>
        <w:keepNext/>
        <w:spacing w:before="200" w:after="80"/>
      </w:pPr>
      <w:r>
        <w:rPr>
          <w:b/>
          <w:color w:val="123047"/>
          <w:sz w:val="24"/>
          <w:lang w:val="es-AR"/>
        </w:rPr>
        <w:t xml:space="preserve">3. Plan B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Si Researcher falla o tarda más de 6 minutos: mostrar la respuesta guardada en la prueba previa y seguir desde el paso 4.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Si PowerPoint no genera la presentación desde el Word: mostrar la presentación guardada en la prueba previa y revisarla con los controles del paso 9.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