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4.png" ContentType="image/png"/>
  <Override PartName="/word/media/rId62.png" ContentType="image/png"/>
  <Override PartName="/word/media/rId37.png" ContentType="image/png"/>
  <Override PartName="/word/media/rId41.png" ContentType="image/png"/>
  <Override PartName="/word/media/rId45.png" ContentType="image/png"/>
  <Override PartName="/word/media/rId49.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 de inflación en México</w:t>
      </w:r>
    </w:p>
    <w:p>
      <w:pPr>
        <w:pStyle w:val="Subtitle"/>
      </w:pPr>
      <w:r>
        <w:t xml:space="preserve">Un enfoque de aprendizaje automático</w:t>
      </w:r>
    </w:p>
    <w:p>
      <w:pPr>
        <w:pStyle w:val="Author"/>
      </w:pPr>
      <w:r>
        <w:t xml:space="preserve">Esteban Degetau</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Este reporte se actualizó por última vez el 24 marzo 2025 a las 10:27 hrs CDMX.</w:t>
            </w:r>
          </w:p>
        </w:tc>
      </w:tr>
    </w:tbl>
    <w:bookmarkStart w:id="61"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6"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abril 2024 para ajustar los modelos y los datos desde mayo 2024 hasta febrero 2025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ayout w:type="fixed"/>
        <w:tblLook w:firstRow="0" w:lastRow="0" w:firstColumn="0" w:lastColumn="0" w:noHBand="0" w:noVBand="0" w:val="0000"/>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ayout w:type="fixed"/>
        <w:tblLook w:firstRow="0" w:lastRow="0" w:firstColumn="0" w:lastColumn="0" w:noHBand="0" w:noVBand="0" w:val="0000"/>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4" w:name="tbl-com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tbl-comp-1"/>
                <w:p>
                  <w:pPr>
                    <w:jc w:val="center"/>
                    <w:jc w:val="left"/>
                  </w:pPr>
                  <w:pPr>
                    <w:jc w:val="start"/>
                    <w:spacing w:before="200"/>
                    <w:pStyle w:val="ImageCaption"/>
                  </w:pPr>
                  <w:r>
                    <w:t xml:space="preserve">(a) Muestra de entrenamiento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w:t>
                        </w:r>
                      </w:p>
                    </w:tc>
                  </w:tr>
                </w:tbl>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tbl-comp-2"/>
                <w:p>
                  <w:pPr>
                    <w:jc w:val="center"/>
                    <w:jc w:val="left"/>
                  </w:pPr>
                  <w:pPr>
                    <w:jc w:val="start"/>
                    <w:spacing w:before="200"/>
                    <w:pStyle w:val="ImageCaption"/>
                  </w:pPr>
                  <w:r>
                    <w:t xml:space="preserve">(b) Muestra de prueba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742.19</w:t>
                        </w:r>
                      </w:p>
                    </w:tc>
                  </w:tr>
                </w:tbl>
                <w:bookmarkEnd w:id="33"/>
              </w:tc>
            </w:tr>
          </w:tbl>
          <w:p/>
        </w:tc>
      </w:tr>
    </w:tbl>
    <w:p>
      <w:pPr>
        <w:pStyle w:val="BodyText"/>
      </w:pPr>
      <w:pPr>
        <w:spacing w:before="200"/>
        <w:pStyle w:val="ImageCaption"/>
      </w:pPr>
      <w:r>
        <w:t xml:space="preserve">Tabla 1: Precisión de los modelos</w:t>
      </w:r>
    </w:p>
    <w:bookmarkEnd w:id="34"/>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5"/>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6"/>
    <w:bookmarkStart w:id="60" w:name="pronóstico-ex-ante"/>
    <w:p>
      <w:pPr>
        <w:pStyle w:val="Heading3"/>
      </w:pPr>
      <w:r>
        <w:t xml:space="preserve">Pronóstico ex-ante</w:t>
      </w:r>
    </w:p>
    <w:p>
      <w:pPr>
        <w:pStyle w:val="FirstParagraph"/>
      </w:pPr>
      <w:r>
        <w:t xml:space="preserve">Sabiendo cuán precisos son los modelos, procedo a pronosticar la inflación mensual en México desde marzo 2025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10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3" w:name="fig-forecas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forecast-1"/>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monthly_forecast_files/figure-docx/fig-forecast-1.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forecast-2"/>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monthly_forecast_files/figure-docx/fig-forecast-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forecast-3"/>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monthly_forecast_files/figure-docx/fig-forecast-3.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8"/>
              </w:tc>
            </w:tr>
          </w:tbl>
          <w:p/>
        </w:tc>
        <w:tc>
          <w:tcPr/>
          <w:tbl>
            <w:tblPr>
              <w:tblStyle w:val="Table"/>
              <w:tblW w:type="pct" w:w="4900"/>
              <w:tblLayout w:type="fixed"/>
              <w:tblLook w:firstRow="0" w:lastRow="0" w:firstColumn="0" w:lastColumn="0" w:noHBand="0" w:noVBand="0" w:val="0000"/>
            </w:tblPr>
            <w:tblGrid>
              <w:gridCol w:w="7761"/>
            </w:tblGrid>
            <w:tr>
              <w:tc>
                <w:tcPr/>
                <w:bookmarkStart w:id="52" w:name="fig-forecast-4"/>
                <w:p>
                  <w:pPr>
                    <w:pStyle w:val="Compact"/>
                    <w:jc w:val="center"/>
                    <w:jc w:val="left"/>
                  </w:pPr>
                  <w:r>
                    <w:drawing>
                      <wp:inline>
                        <wp:extent cx="2971800" cy="2377440"/>
                        <wp:effectExtent b="0" l="0" r="0" t="0"/>
                        <wp:docPr descr="" title="" id="50" name="Picture"/>
                        <a:graphic>
                          <a:graphicData uri="http://schemas.openxmlformats.org/drawingml/2006/picture">
                            <pic:pic>
                              <pic:nvPicPr>
                                <pic:cNvPr descr="monthly_forecast_files/figure-docx/fig-forecast-4.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2"/>
              </w:tc>
            </w:tr>
          </w:tbl>
          <w:p/>
        </w:tc>
      </w:tr>
    </w:tbl>
    <w:p>
      <w:pPr>
        <w:pStyle w:val="BodyText"/>
      </w:pPr>
      <w:pPr>
        <w:spacing w:before="200"/>
        <w:pStyle w:val="ImageCaption"/>
      </w:pPr>
      <w:r>
        <w:t xml:space="preserve">Figura 3: Pronósticos ex-ante de inflación mensual</w:t>
      </w:r>
    </w:p>
    <w:bookmarkEnd w:id="53"/>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ayout w:type="fixed"/>
        <w:tblLook w:firstRow="0" w:lastRow="0" w:firstColumn="0" w:lastColumn="0" w:noHBand="0" w:noVBand="0" w:val="0000"/>
      </w:tblPr>
      <w:tblGrid>
        <w:gridCol w:w="7920"/>
      </w:tblGrid>
      <w:tr>
        <w:tc>
          <w:tcPr/>
          <w:bookmarkStart w:id="57" w:name="fig-banxico"/>
          <w:p>
            <w:pPr>
              <w:pStyle w:val="Compact"/>
              <w:jc w:val="center"/>
            </w:pPr>
            <w:r>
              <w:drawing>
                <wp:inline>
                  <wp:extent cx="4620126" cy="3696101"/>
                  <wp:effectExtent b="0" l="0" r="0" t="0"/>
                  <wp:docPr descr="" title="" id="55" name="Picture"/>
                  <a:graphic>
                    <a:graphicData uri="http://schemas.openxmlformats.org/drawingml/2006/picture">
                      <pic:pic>
                        <pic:nvPicPr>
                          <pic:cNvPr descr="monthly_forecast_files/figure-docx/fig-banxic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7"/>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ayout w:type="fixed"/>
        <w:tblLook w:firstRow="0" w:lastRow="0" w:firstColumn="0" w:lastColumn="0" w:noHBand="0" w:noVBand="0" w:val="0000"/>
      </w:tblPr>
      <w:tblGrid>
        <w:gridCol w:w="7920"/>
      </w:tblGrid>
      <w:tr>
        <w:tc>
          <w:tcPr/>
          <w:bookmarkStart w:id="58"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58"/>
        </w:tc>
      </w:tr>
    </w:tbl>
    <w:tbl>
      <w:tblPr>
        <w:tblStyle w:val="Table"/>
        <w:tblW w:type="pct" w:w="5000"/>
        <w:tblLayout w:type="fixed"/>
        <w:tblLook w:firstRow="0" w:lastRow="0" w:firstColumn="0" w:lastColumn="0" w:noHBand="0" w:noVBand="0" w:val="0000"/>
      </w:tblPr>
      <w:tblGrid>
        <w:gridCol w:w="7920"/>
      </w:tblGrid>
      <w:tr>
        <w:tc>
          <w:tcPr/>
          <w:bookmarkStart w:id="59"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w:t>
                  </w:r>
                </w:p>
              </w:tc>
            </w:tr>
          </w:tbl>
          <w:bookmarkEnd w:id="59"/>
        </w:tc>
      </w:tr>
    </w:tbl>
    <w:bookmarkEnd w:id="60"/>
    <w:bookmarkEnd w:id="61"/>
    <w:bookmarkStart w:id="67"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ayout w:type="fixed"/>
        <w:tblLook w:firstRow="0" w:lastRow="0" w:firstColumn="0" w:lastColumn="0" w:noHBand="0" w:noVBand="0" w:val="0000"/>
      </w:tblPr>
      <w:tblGrid>
        <w:gridCol w:w="7920"/>
      </w:tblGrid>
      <w:tr>
        <w:tc>
          <w:tcPr/>
          <w:bookmarkStart w:id="65" w:name="fig-expectations"/>
          <w:p>
            <w:pPr>
              <w:pStyle w:val="Compact"/>
              <w:jc w:val="center"/>
            </w:pPr>
            <w:r>
              <w:drawing>
                <wp:inline>
                  <wp:extent cx="4620126" cy="3696101"/>
                  <wp:effectExtent b="0" l="0" r="0" t="0"/>
                  <wp:docPr descr="" title="" id="63" name="Picture"/>
                  <a:graphic>
                    <a:graphicData uri="http://schemas.openxmlformats.org/drawingml/2006/picture">
                      <pic:pic>
                        <pic:nvPicPr>
                          <pic:cNvPr descr="monthly_forecast_files/figure-docx/fig-expectation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5"/>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hyperlink w:anchor="tbl-comp-2">
        <w:r>
          <w:rPr>
            <w:rStyle w:val="Hyperlink"/>
          </w:rPr>
          <w:t xml:space="preserve">Tabla 1 (b)</w:t>
        </w:r>
      </w:hyperlink>
      <w:r>
        <w:t xml:space="preserve">, el modelo NNETAR tuvo mejor desempeño que el histórico de los analistas.</w:t>
      </w:r>
    </w:p>
    <w:tbl>
      <w:tblPr>
        <w:tblStyle w:val="Table"/>
        <w:tblW w:type="pct" w:w="5000"/>
        <w:tblLayout w:type="fixed"/>
        <w:tblLook w:firstRow="0" w:lastRow="0" w:firstColumn="0" w:lastColumn="0" w:noHBand="0" w:noVBand="0" w:val="0000"/>
      </w:tblPr>
      <w:tblGrid>
        <w:gridCol w:w="7920"/>
      </w:tblGrid>
      <w:tr>
        <w:tc>
          <w:tcPr/>
          <w:bookmarkStart w:id="66"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bl>
          <w:bookmarkEnd w:id="66"/>
        </w:tc>
      </w:tr>
    </w:tbl>
    <w:bookmarkEnd w:id="67"/>
    <w:bookmarkStart w:id="68"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0.27 en el periodo de prueba, mientras que la el promedio de los analistas tuvo un error cuadrático medio histórico de 0.41 puntos porcentuales.</w:t>
      </w:r>
    </w:p>
    <w:bookmarkEnd w:id="68"/>
    <w:bookmarkStart w:id="81" w:name="referencias"/>
    <w:p>
      <w:pPr>
        <w:pStyle w:val="Heading2"/>
      </w:pPr>
      <w:r>
        <w:t xml:space="preserve">Referencias</w:t>
      </w:r>
    </w:p>
    <w:bookmarkStart w:id="80" w:name="refs"/>
    <w:bookmarkStart w:id="70" w:name="ref-allen2022"/>
    <w:p>
      <w:pPr>
        <w:pStyle w:val="Bibliography"/>
      </w:pPr>
      <w:r>
        <w:t xml:space="preserve">Allen, Benjamin. 2022.</w:t>
      </w:r>
      <w:r>
        <w:t xml:space="preserve"> </w:t>
      </w:r>
      <w:r>
        <w:t xml:space="preserve">«Forecasting U.S. Inflation»</w:t>
      </w:r>
      <w:r>
        <w:t xml:space="preserve">.</w:t>
      </w:r>
      <w:r>
        <w:t xml:space="preserve"> </w:t>
      </w:r>
      <w:hyperlink r:id="rId69">
        <w:r>
          <w:rPr>
            <w:rStyle w:val="Hyperlink"/>
          </w:rPr>
          <w:t xml:space="preserve">https://kaggle.com/code/benjaminallen24/forecasting-u-s-inflation</w:t>
        </w:r>
      </w:hyperlink>
      <w:r>
        <w:t xml:space="preserve">.</w:t>
      </w:r>
    </w:p>
    <w:bookmarkEnd w:id="70"/>
    <w:bookmarkStart w:id="72"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71">
        <w:r>
          <w:rPr>
            <w:rStyle w:val="Hyperlink"/>
          </w:rPr>
          <w:t xml:space="preserve">https://www.banxico.org.mx/SieInternet/</w:t>
        </w:r>
      </w:hyperlink>
      <w:r>
        <w:t xml:space="preserve">.</w:t>
      </w:r>
    </w:p>
    <w:bookmarkEnd w:id="72"/>
    <w:bookmarkStart w:id="74" w:name="ref-hamming1997"/>
    <w:p>
      <w:pPr>
        <w:pStyle w:val="Bibliography"/>
      </w:pPr>
      <w:r>
        <w:t xml:space="preserve">Hamming, Richard R. 1997.</w:t>
      </w:r>
      <w:r>
        <w:t xml:space="preserve"> </w:t>
      </w:r>
      <w:r>
        <w:rPr>
          <w:i/>
          <w:iCs/>
        </w:rPr>
        <w:t xml:space="preserve">Art of</w:t>
      </w:r>
      <w:r>
        <w:rPr>
          <w:i/>
          <w:iCs/>
        </w:rPr>
        <w:t xml:space="preserve"> </w:t>
      </w:r>
      <w:r>
        <w:rPr>
          <w:i/>
          <w:iCs/>
        </w:rPr>
        <w:t xml:space="preserve">Doing Science</w:t>
      </w:r>
      <w:r>
        <w:rPr>
          <w:i/>
          <w:iCs/>
        </w:rPr>
        <w:t xml:space="preserve"> </w:t>
      </w:r>
      <w:r>
        <w:rPr>
          <w:i/>
          <w:iCs/>
        </w:rPr>
        <w:t xml:space="preserve">and</w:t>
      </w:r>
      <w:r>
        <w:rPr>
          <w:i/>
          <w:iCs/>
        </w:rPr>
        <w:t xml:space="preserve"> </w:t>
      </w:r>
      <w:r>
        <w:rPr>
          <w:i/>
          <w:iCs/>
        </w:rPr>
        <w:t xml:space="preserve">Engineering</w:t>
      </w:r>
      <w:r>
        <w:rPr>
          <w:i/>
          <w:iCs/>
        </w:rPr>
        <w:t xml:space="preserve">:</w:t>
      </w:r>
      <w:r>
        <w:rPr>
          <w:i/>
          <w:iCs/>
        </w:rPr>
        <w:t xml:space="preserve"> </w:t>
      </w:r>
      <w:r>
        <w:rPr>
          <w:i/>
          <w:iCs/>
        </w:rPr>
        <w:t xml:space="preserve">Learning</w:t>
      </w:r>
      <w:r>
        <w:rPr>
          <w:i/>
          <w:iCs/>
        </w:rPr>
        <w:t xml:space="preserve"> </w:t>
      </w:r>
      <w:r>
        <w:rPr>
          <w:i/>
          <w:iCs/>
        </w:rPr>
        <w:t xml:space="preserve">to</w:t>
      </w:r>
      <w:r>
        <w:rPr>
          <w:i/>
          <w:iCs/>
        </w:rPr>
        <w:t xml:space="preserve"> </w:t>
      </w:r>
      <w:r>
        <w:rPr>
          <w:i/>
          <w:iCs/>
        </w:rPr>
        <w:t xml:space="preserve">Learn</w:t>
      </w:r>
      <w:r>
        <w:t xml:space="preserve">. CRC Press.</w:t>
      </w:r>
      <w:r>
        <w:t xml:space="preserve"> </w:t>
      </w:r>
      <w:hyperlink r:id="rId73">
        <w:r>
          <w:rPr>
            <w:rStyle w:val="Hyperlink"/>
          </w:rPr>
          <w:t xml:space="preserve">https://books.google.com?id=50hZDwAAQBAJ</w:t>
        </w:r>
      </w:hyperlink>
      <w:r>
        <w:t xml:space="preserve">.</w:t>
      </w:r>
    </w:p>
    <w:bookmarkEnd w:id="74"/>
    <w:bookmarkStart w:id="76"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75">
        <w:r>
          <w:rPr>
            <w:rStyle w:val="Hyperlink"/>
          </w:rPr>
          <w:t xml:space="preserve">https://otexts.com/fpp3/</w:t>
        </w:r>
      </w:hyperlink>
      <w:r>
        <w:t xml:space="preserve">.</w:t>
      </w:r>
    </w:p>
    <w:bookmarkEnd w:id="76"/>
    <w:bookmarkStart w:id="78"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
          <w:iCs/>
        </w:rPr>
        <w:t xml:space="preserve">Journal of Statistical Software</w:t>
      </w:r>
      <w:r>
        <w:t xml:space="preserve"> </w:t>
      </w:r>
      <w:r>
        <w:t xml:space="preserve">27 (julio): 1-22.</w:t>
      </w:r>
      <w:r>
        <w:t xml:space="preserve"> </w:t>
      </w:r>
      <w:hyperlink r:id="rId77">
        <w:r>
          <w:rPr>
            <w:rStyle w:val="Hyperlink"/>
          </w:rPr>
          <w:t xml:space="preserve">https://doi.org/10.18637/jss.v027.i03</w:t>
        </w:r>
      </w:hyperlink>
      <w:r>
        <w:t xml:space="preserve">.</w:t>
      </w:r>
    </w:p>
    <w:bookmarkEnd w:id="78"/>
    <w:bookmarkStart w:id="79" w:name="ref-james2021a"/>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5">
    <w:p>
      <w:pPr>
        <w:pStyle w:val="FootnoteText"/>
      </w:pPr>
      <w:r>
        <w:rPr>
          <w:rStyle w:val="FootnoteReference"/>
        </w:rPr>
        <w:footnoteRef/>
      </w:r>
      <w:r>
        <w:t xml:space="preserve"> </w:t>
      </w:r>
      <w:r>
        <w:t xml:space="preserve">ME:</w:t>
      </w:r>
      <w:r>
        <w:t xml:space="preserve"> </w:t>
      </w:r>
      <w:r>
        <w:rPr>
          <w:i/>
          <w:iCs/>
        </w:rPr>
        <w:t xml:space="preserve">Median Error.-</w:t>
      </w:r>
      <w:r>
        <w:t xml:space="preserve"> </w:t>
      </w:r>
      <w:r>
        <w:t xml:space="preserve">Error de estimación promedio.</w:t>
      </w:r>
    </w:p>
    <w:p>
      <w:pPr>
        <w:pStyle w:val="FootnoteText"/>
      </w:pPr>
      <w:r>
        <w:t xml:space="preserve">RMSE:</w:t>
      </w:r>
      <w:r>
        <w:t xml:space="preserve"> </w:t>
      </w:r>
      <w:r>
        <w:rPr>
          <w:i/>
          <w:iCs/>
        </w:rPr>
        <w:t xml:space="preserve">Root median squared error.-</w:t>
      </w:r>
      <w:r>
        <w:t xml:space="preserve"> </w:t>
      </w:r>
      <w:r>
        <w:t xml:space="preserve">Raíz cuadrada del error cuadrático medio.</w:t>
      </w:r>
    </w:p>
    <w:p>
      <w:pPr>
        <w:pStyle w:val="FootnoteText"/>
      </w:pPr>
      <w:r>
        <w:t xml:space="preserve">MAE:</w:t>
      </w:r>
      <w:r>
        <w:t xml:space="preserve"> </w:t>
      </w:r>
      <w:r>
        <w:rPr>
          <w:i/>
          <w:iCs/>
        </w:rPr>
        <w:t xml:space="preserve">Mean absolute error.-</w:t>
      </w:r>
      <w:r>
        <w:t xml:space="preserve"> </w:t>
      </w:r>
      <w:r>
        <w:t xml:space="preserve">Error absoluto promedio.</w:t>
      </w:r>
    </w:p>
    <w:p>
      <w:pPr>
        <w:pStyle w:val="FootnoteText"/>
      </w:pPr>
      <w:r>
        <w:t xml:space="preserve">MPE:</w:t>
      </w:r>
      <w:r>
        <w:t xml:space="preserve"> </w:t>
      </w:r>
      <w:r>
        <w:rPr>
          <w:i/>
          <w:iCs/>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2025-05-02T16:55:46Z</dcterms:created>
  <dcterms:modified xsi:type="dcterms:W3CDTF">2025-05-02T16:55:46Z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