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00" w:after="280"/>
      </w:pPr>
      <w:r>
        <w:rPr>
          <w:rFonts w:ascii="Aptos" w:hAnsi="Aptos"/>
          <w:b/>
          <w:color w:val="00866A"/>
          <w:sz w:val="22"/>
        </w:rPr>
        <w:t>EVENTPASS VE</w:t>
      </w:r>
    </w:p>
    <w:p>
      <w:pPr>
        <w:pStyle w:val="Title"/>
      </w:pPr>
      <w:r>
        <w:t>Plan comercial</w:t>
      </w:r>
    </w:p>
    <w:p>
      <w:pPr>
        <w:pStyle w:val="Subtitle"/>
      </w:pPr>
      <w:r>
        <w:t>Evento gremial con exposición</w:t>
      </w:r>
    </w:p>
    <w:p>
      <w:pPr>
        <w:spacing w:after="440"/>
      </w:pPr>
      <w:r>
        <w:rPr>
          <w:rFonts w:ascii="Aptos" w:hAnsi="Aptos"/>
          <w:color w:val="5F6B73"/>
          <w:sz w:val="23"/>
        </w:rPr>
        <w:t>Propuesta interna para estimar, presentar y negociar la primera contratación.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shd w:fill="E9F7F2"/>
            <w:tcMar>
              <w:top w:w="190" w:type="dxa"/>
              <w:start w:w="240" w:type="dxa"/>
              <w:bottom w:w="190" w:type="dxa"/>
              <w:end w:w="240" w:type="dxa"/>
            </w:tcMar>
          </w:tcPr>
          <w:p>
            <w:pPr>
              <w:spacing w:after="60"/>
            </w:pPr>
            <w:r>
              <w:rPr>
                <w:rFonts w:ascii="Aptos" w:hAnsi="Aptos"/>
                <w:b/>
                <w:color w:val="00866A"/>
                <w:sz w:val="18"/>
              </w:rPr>
              <w:t>OFERTA DE LANZAMIENTO RECOMENDADA</w:t>
            </w:r>
          </w:p>
          <w:p>
            <w:pPr>
              <w:spacing w:after="60"/>
            </w:pPr>
            <w:r>
              <w:rPr>
                <w:rFonts w:ascii="Aptos" w:hAnsi="Aptos"/>
                <w:b/>
                <w:color w:val="123047"/>
                <w:sz w:val="46"/>
              </w:rPr>
              <w:t>USD 1.200</w:t>
            </w:r>
          </w:p>
          <w:p>
            <w:pPr>
              <w:spacing w:after="0"/>
            </w:pPr>
            <w:r>
              <w:rPr>
                <w:rFonts w:ascii="Aptos" w:hAnsi="Aptos"/>
                <w:color w:val="5F6B73"/>
                <w:sz w:val="20"/>
              </w:rPr>
              <w:t>Precio de lista: USD 1.500 · Equipos y operación presencial se cotizan aparte</w:t>
            </w:r>
          </w:p>
        </w:tc>
      </w:tr>
    </w:tbl>
    <w:p>
      <w:pPr>
        <w:spacing w:after="0"/>
      </w:pPr>
    </w:p>
    <w:p>
      <w:pPr>
        <w:spacing w:before="280" w:after="160"/>
      </w:pPr>
      <w:r>
        <w:rPr>
          <w:rFonts w:ascii="Aptos" w:hAnsi="Aptos"/>
          <w:b/>
          <w:color w:val="006B55"/>
          <w:sz w:val="18"/>
        </w:rPr>
        <w:t>CONTEXTO DEL CLIENTE</w:t>
      </w:r>
    </w:p>
    <w:p>
      <w:pPr>
        <w:pStyle w:val="ListBullet"/>
      </w:pPr>
      <w:r>
        <w:rPr>
          <w:rFonts w:ascii="Aptos" w:hAnsi="Aptos"/>
          <w:color w:val="18232B"/>
          <w:sz w:val="21"/>
        </w:rPr>
        <w:t>Asociación gremial venezolana, no empresa organizadora de eventos.</w:t>
      </w:r>
    </w:p>
    <w:p>
      <w:pPr>
        <w:pStyle w:val="ListBullet"/>
      </w:pPr>
      <w:r>
        <w:rPr>
          <w:rFonts w:ascii="Aptos" w:hAnsi="Aptos"/>
          <w:color w:val="18232B"/>
          <w:sz w:val="21"/>
        </w:rPr>
        <w:t>Participación gratuita para asistentes.</w:t>
      </w:r>
    </w:p>
    <w:p>
      <w:pPr>
        <w:pStyle w:val="ListBullet"/>
      </w:pPr>
      <w:r>
        <w:rPr>
          <w:rFonts w:ascii="Aptos" w:hAnsi="Aptos"/>
          <w:color w:val="18232B"/>
          <w:sz w:val="21"/>
        </w:rPr>
        <w:t>Ingresos vinculados principalmente con la comercialización de stands.</w:t>
      </w:r>
    </w:p>
    <w:p>
      <w:pPr>
        <w:pStyle w:val="ListBullet"/>
      </w:pPr>
      <w:r>
        <w:rPr>
          <w:rFonts w:ascii="Aptos" w:hAnsi="Aptos"/>
          <w:color w:val="18232B"/>
          <w:sz w:val="21"/>
        </w:rPr>
        <w:t>Cantidad de operadores, puntos de impresión y equipos todavía por confirmar.</w:t>
      </w:r>
    </w:p>
    <w:p>
      <w:pPr>
        <w:spacing w:before="400" w:after="0"/>
      </w:pPr>
      <w:r>
        <w:rPr>
          <w:rFonts w:ascii="Aptos" w:hAnsi="Aptos"/>
          <w:color w:val="5F6B73"/>
          <w:sz w:val="19"/>
        </w:rPr>
        <w:t>Documento interno · 31 de agosto de 2026</w:t>
      </w:r>
    </w:p>
    <w:p>
      <w:r>
        <w:br w:type="page"/>
      </w:r>
    </w:p>
    <w:p>
      <w:pPr>
        <w:pStyle w:val="Heading1"/>
      </w:pPr>
      <w:r>
        <w:t>1. Recomendación ejecutiva</w:t>
      </w:r>
    </w:p>
    <w:p>
      <w:r>
        <w:rPr>
          <w:rFonts w:ascii="Aptos" w:hAnsi="Aptos"/>
          <w:color w:val="18232B"/>
          <w:sz w:val="21"/>
        </w:rPr>
        <w:t xml:space="preserve">Para este cliente conviene ofrecer una </w:t>
      </w:r>
      <w:r>
        <w:rPr>
          <w:rFonts w:ascii="Aptos" w:hAnsi="Aptos"/>
          <w:b/>
          <w:color w:val="18232B"/>
          <w:sz w:val="21"/>
        </w:rPr>
        <w:t>licencia por evento</w:t>
      </w:r>
      <w:r>
        <w:rPr>
          <w:rFonts w:ascii="Aptos" w:hAnsi="Aptos"/>
          <w:color w:val="18232B"/>
          <w:sz w:val="21"/>
        </w:rPr>
        <w:t>, no una comisión por participante ni una suscripción mensual abierta.</w:t>
      </w:r>
    </w:p>
    <w:p>
      <w:pPr>
        <w:pStyle w:val="Heading2"/>
      </w:pPr>
      <w:r>
        <w:t>Precio recomendado para presentar</w:t>
      </w:r>
    </w:p>
    <w:tbl>
      <w:tblPr>
        <w:tblStyle w:val="TableGrid"/>
        <w:tblW w:type="dxa" w:w="9360"/>
        <w:jc w:val="left"/>
        <w:tblLayout w:type="fixed"/>
        <w:tblLook w:firstColumn="1" w:firstRow="1" w:lastColumn="0" w:lastRow="0" w:noHBand="0" w:noVBand="1" w:val="04A0"/>
        <w:tblInd w:w="120" w:type="dxa"/>
      </w:tblPr>
      <w:tblGrid>
        <w:gridCol w:w="3600"/>
        <w:gridCol w:w="5760"/>
      </w:tblGrid>
      <w:tr>
        <w:trPr>
          <w:cantSplit/>
          <w:tblHeader w:val="true"/>
        </w:trPr>
        <w:tc>
          <w:tcPr>
            <w:tcW w:type="dxa" w:w="3600"/>
            <w:vAlign w:val="center"/>
            <w:tcMar>
              <w:top w:w="90" w:type="dxa"/>
              <w:start w:w="120" w:type="dxa"/>
              <w:bottom w:w="90" w:type="dxa"/>
              <w:end w:w="120" w:type="dxa"/>
            </w:tcMar>
            <w:shd w:fill="123047"/>
          </w:tcPr>
          <w:p>
            <w:pPr>
              <w:spacing w:after="0" w:line="252" w:lineRule="auto"/>
            </w:pPr>
            <w:r>
              <w:rPr>
                <w:rFonts w:ascii="Aptos" w:hAnsi="Aptos"/>
                <w:b/>
                <w:color w:val="FFFFFF"/>
                <w:sz w:val="18"/>
              </w:rPr>
              <w:t>Concepto</w:t>
            </w:r>
          </w:p>
        </w:tc>
        <w:tc>
          <w:tcPr>
            <w:tcW w:type="dxa" w:w="5760"/>
            <w:vAlign w:val="center"/>
            <w:tcMar>
              <w:top w:w="90" w:type="dxa"/>
              <w:start w:w="120" w:type="dxa"/>
              <w:bottom w:w="90" w:type="dxa"/>
              <w:end w:w="120" w:type="dxa"/>
            </w:tcMar>
            <w:shd w:fill="123047"/>
          </w:tcPr>
          <w:p>
            <w:pPr>
              <w:spacing w:after="0" w:line="252" w:lineRule="auto"/>
            </w:pPr>
            <w:r>
              <w:rPr>
                <w:rFonts w:ascii="Aptos" w:hAnsi="Aptos"/>
                <w:b/>
                <w:color w:val="FFFFFF"/>
                <w:sz w:val="18"/>
              </w:rPr>
              <w:t>Precio recomendado</w:t>
            </w:r>
          </w:p>
        </w:tc>
      </w:tr>
      <w:tr>
        <w:trPr>
          <w:cantSplit/>
        </w:trPr>
        <w:tc>
          <w:tcPr>
            <w:tcW w:type="dxa" w:w="3600"/>
            <w:vAlign w:val="center"/>
            <w:tcMar>
              <w:top w:w="90" w:type="dxa"/>
              <w:start w:w="120" w:type="dxa"/>
              <w:bottom w:w="90" w:type="dxa"/>
              <w:end w:w="120" w:type="dxa"/>
            </w:tcMar>
          </w:tcPr>
          <w:p>
            <w:pPr>
              <w:spacing w:after="0" w:line="252" w:lineRule="auto"/>
            </w:pPr>
            <w:r>
              <w:rPr>
                <w:rFonts w:ascii="Aptos" w:hAnsi="Aptos"/>
                <w:color w:val="18232B"/>
                <w:sz w:val="18"/>
              </w:rPr>
              <w:t>Licencia y puesta en marcha del evento</w:t>
            </w:r>
          </w:p>
        </w:tc>
        <w:tc>
          <w:tcPr>
            <w:tcW w:type="dxa" w:w="5760"/>
            <w:vAlign w:val="center"/>
            <w:tcMar>
              <w:top w:w="90" w:type="dxa"/>
              <w:start w:w="120" w:type="dxa"/>
              <w:bottom w:w="90" w:type="dxa"/>
              <w:end w:w="120" w:type="dxa"/>
            </w:tcMar>
          </w:tcPr>
          <w:p>
            <w:pPr>
              <w:spacing w:after="0" w:line="252" w:lineRule="auto"/>
            </w:pPr>
            <w:r>
              <w:rPr>
                <w:rFonts w:ascii="Aptos" w:hAnsi="Aptos"/>
                <w:b/>
                <w:color w:val="18232B"/>
                <w:sz w:val="18"/>
              </w:rPr>
              <w:t>USD 1.500</w:t>
            </w:r>
          </w:p>
        </w:tc>
      </w:tr>
      <w:tr>
        <w:trPr>
          <w:cantSplit/>
        </w:trPr>
        <w:tc>
          <w:tcPr>
            <w:tcW w:type="dxa" w:w="3600"/>
            <w:vAlign w:val="center"/>
            <w:tcMar>
              <w:top w:w="90" w:type="dxa"/>
              <w:start w:w="120" w:type="dxa"/>
              <w:bottom w:w="90" w:type="dxa"/>
              <w:end w:w="120" w:type="dxa"/>
            </w:tcMar>
            <w:shd w:fill="F3F6F7"/>
          </w:tcPr>
          <w:p>
            <w:pPr>
              <w:spacing w:after="0" w:line="252" w:lineRule="auto"/>
            </w:pPr>
            <w:r>
              <w:rPr>
                <w:rFonts w:ascii="Aptos" w:hAnsi="Aptos"/>
                <w:color w:val="18232B"/>
                <w:sz w:val="18"/>
              </w:rPr>
              <w:t>Descuento de cliente fundador / primera edición</w:t>
            </w:r>
          </w:p>
        </w:tc>
        <w:tc>
          <w:tcPr>
            <w:tcW w:type="dxa" w:w="5760"/>
            <w:vAlign w:val="center"/>
            <w:tcMar>
              <w:top w:w="90" w:type="dxa"/>
              <w:start w:w="120" w:type="dxa"/>
              <w:bottom w:w="90" w:type="dxa"/>
              <w:end w:w="120" w:type="dxa"/>
            </w:tcMar>
            <w:shd w:fill="F3F6F7"/>
          </w:tcPr>
          <w:p>
            <w:pPr>
              <w:spacing w:after="0" w:line="252" w:lineRule="auto"/>
            </w:pPr>
            <w:r>
              <w:rPr>
                <w:rFonts w:ascii="Aptos" w:hAnsi="Aptos"/>
                <w:b/>
                <w:color w:val="18232B"/>
                <w:sz w:val="18"/>
              </w:rPr>
              <w:t>USD 300</w:t>
            </w:r>
          </w:p>
        </w:tc>
      </w:tr>
      <w:tr>
        <w:trPr>
          <w:cantSplit/>
        </w:trPr>
        <w:tc>
          <w:tcPr>
            <w:tcW w:type="dxa" w:w="3600"/>
            <w:vAlign w:val="center"/>
            <w:tcMar>
              <w:top w:w="90" w:type="dxa"/>
              <w:start w:w="120" w:type="dxa"/>
              <w:bottom w:w="90" w:type="dxa"/>
              <w:end w:w="120" w:type="dxa"/>
            </w:tcMar>
          </w:tcPr>
          <w:p>
            <w:pPr>
              <w:spacing w:after="0" w:line="252" w:lineRule="auto"/>
            </w:pPr>
            <w:r>
              <w:rPr>
                <w:rFonts w:ascii="Aptos" w:hAnsi="Aptos"/>
                <w:b/>
                <w:color w:val="18232B"/>
                <w:sz w:val="18"/>
              </w:rPr>
              <w:t>Oferta de lanzamiento</w:t>
            </w:r>
          </w:p>
        </w:tc>
        <w:tc>
          <w:tcPr>
            <w:tcW w:type="dxa" w:w="5760"/>
            <w:vAlign w:val="center"/>
            <w:tcMar>
              <w:top w:w="90" w:type="dxa"/>
              <w:start w:w="120" w:type="dxa"/>
              <w:bottom w:w="90" w:type="dxa"/>
              <w:end w:w="120" w:type="dxa"/>
            </w:tcMar>
          </w:tcPr>
          <w:p>
            <w:pPr>
              <w:spacing w:after="0" w:line="252" w:lineRule="auto"/>
            </w:pPr>
            <w:r>
              <w:rPr>
                <w:rFonts w:ascii="Aptos" w:hAnsi="Aptos"/>
                <w:b/>
                <w:color w:val="18232B"/>
                <w:sz w:val="18"/>
              </w:rPr>
              <w:t>USD 1.200</w:t>
            </w:r>
          </w:p>
        </w:tc>
      </w:tr>
    </w:tbl>
    <w:p>
      <w:pPr>
        <w:spacing w:after="0"/>
      </w:pPr>
    </w:p>
    <w:p>
      <w:r>
        <w:rPr>
          <w:rFonts w:ascii="Aptos" w:hAnsi="Aptos"/>
          <w:color w:val="18232B"/>
          <w:sz w:val="21"/>
        </w:rPr>
        <w:t>La oferta de USD 1.200 debe estar condicionada a un alcance preliminar:</w:t>
      </w:r>
    </w:p>
    <w:p>
      <w:pPr>
        <w:pStyle w:val="ListBullet"/>
      </w:pPr>
      <w:r>
        <w:rPr>
          <w:rFonts w:ascii="Aptos" w:hAnsi="Aptos"/>
          <w:color w:val="18232B"/>
          <w:sz w:val="21"/>
        </w:rPr>
        <w:t>hasta 1.500 participantes registrados;</w:t>
      </w:r>
    </w:p>
    <w:p>
      <w:pPr>
        <w:pStyle w:val="ListBullet"/>
      </w:pPr>
      <w:r>
        <w:rPr>
          <w:rFonts w:ascii="Aptos" w:hAnsi="Aptos"/>
          <w:color w:val="18232B"/>
          <w:sz w:val="21"/>
        </w:rPr>
        <w:t>hasta 75 empresas expositoras o stands activos;</w:t>
      </w:r>
    </w:p>
    <w:p>
      <w:pPr>
        <w:pStyle w:val="ListBullet"/>
      </w:pPr>
      <w:r>
        <w:rPr>
          <w:rFonts w:ascii="Aptos" w:hAnsi="Aptos"/>
          <w:color w:val="18232B"/>
          <w:sz w:val="21"/>
        </w:rPr>
        <w:t>un evento y una edición;</w:t>
      </w:r>
    </w:p>
    <w:p>
      <w:pPr>
        <w:pStyle w:val="ListBullet"/>
      </w:pPr>
      <w:r>
        <w:rPr>
          <w:rFonts w:ascii="Aptos" w:hAnsi="Aptos"/>
          <w:color w:val="18232B"/>
          <w:sz w:val="21"/>
        </w:rPr>
        <w:t>hasta 5 usuarios administradores;</w:t>
      </w:r>
    </w:p>
    <w:p>
      <w:pPr>
        <w:pStyle w:val="ListBullet"/>
      </w:pPr>
      <w:r>
        <w:rPr>
          <w:rFonts w:ascii="Aptos" w:hAnsi="Aptos"/>
          <w:color w:val="18232B"/>
          <w:sz w:val="21"/>
        </w:rPr>
        <w:t>configuración de hasta 3 puntos de acreditación o impresión;</w:t>
      </w:r>
    </w:p>
    <w:p>
      <w:pPr>
        <w:pStyle w:val="ListBullet"/>
      </w:pPr>
      <w:r>
        <w:rPr>
          <w:rFonts w:ascii="Aptos" w:hAnsi="Aptos"/>
          <w:color w:val="18232B"/>
          <w:sz w:val="21"/>
        </w:rPr>
        <w:t>capacitación remota de hasta 4 horas en dos sesiones;</w:t>
      </w:r>
    </w:p>
    <w:p>
      <w:pPr>
        <w:pStyle w:val="ListBullet"/>
      </w:pPr>
      <w:r>
        <w:rPr>
          <w:rFonts w:ascii="Aptos" w:hAnsi="Aptos"/>
          <w:color w:val="18232B"/>
          <w:sz w:val="21"/>
        </w:rPr>
        <w:t>soporte remoto durante preparación y horario acordado del evento;</w:t>
      </w:r>
    </w:p>
    <w:p>
      <w:pPr>
        <w:pStyle w:val="ListBullet"/>
      </w:pPr>
      <w:r>
        <w:rPr>
          <w:rFonts w:ascii="Aptos" w:hAnsi="Aptos"/>
          <w:color w:val="18232B"/>
          <w:sz w:val="21"/>
        </w:rPr>
        <w:t>uso de las funciones que estén desplegadas y aprobadas en la fecha de contratación.</w:t>
      </w:r>
    </w:p>
    <w:p>
      <w:r>
        <w:rPr>
          <w:rFonts w:ascii="Aptos" w:hAnsi="Aptos"/>
          <w:b/>
          <w:color w:val="18232B"/>
          <w:sz w:val="21"/>
        </w:rPr>
        <w:t>Precio de negociación:</w:t>
      </w:r>
      <w:r>
        <w:rPr>
          <w:rFonts w:ascii="Aptos" w:hAnsi="Aptos"/>
          <w:color w:val="18232B"/>
          <w:sz w:val="21"/>
        </w:rPr>
        <w:t xml:space="preserve"> abrir en USD 1.500 y presentar USD 1.200 como beneficio por primera implementación. No bajar de </w:t>
      </w:r>
      <w:r>
        <w:rPr>
          <w:rFonts w:ascii="Aptos" w:hAnsi="Aptos"/>
          <w:b/>
          <w:color w:val="18232B"/>
          <w:sz w:val="21"/>
        </w:rPr>
        <w:t>USD 900</w:t>
      </w:r>
      <w:r>
        <w:rPr>
          <w:rFonts w:ascii="Aptos" w:hAnsi="Aptos"/>
          <w:color w:val="18232B"/>
          <w:sz w:val="21"/>
        </w:rPr>
        <w:t xml:space="preserve"> sin reducir alcance, soporte o número de puntos. El descuento debe aparecer en la propuesta; no se debe convertir silenciosamente en el precio permanente del producto.</w:t>
      </w:r>
    </w:p>
    <w:p>
      <w:pPr>
        <w:pStyle w:val="Heading1"/>
      </w:pPr>
      <w:r>
        <w:t>2. Por qué este modelo encaja</w:t>
      </w:r>
    </w:p>
    <w:p>
      <w:pPr>
        <w:pStyle w:val="ListBullet"/>
      </w:pPr>
      <w:r>
        <w:rPr>
          <w:rFonts w:ascii="Aptos" w:hAnsi="Aptos"/>
          <w:color w:val="18232B"/>
          <w:sz w:val="21"/>
        </w:rPr>
        <w:t>Los participantes no pagan entrada, por lo que no se debe depender de una comisión por ticket.</w:t>
      </w:r>
    </w:p>
    <w:p>
      <w:pPr>
        <w:pStyle w:val="ListBullet"/>
      </w:pPr>
      <w:r>
        <w:rPr>
          <w:rFonts w:ascii="Aptos" w:hAnsi="Aptos"/>
          <w:color w:val="18232B"/>
          <w:sz w:val="21"/>
        </w:rPr>
        <w:t>La asociación sí genera ingresos con los stands; el sistema aporta valor al organizar expositores, ubicación, perfiles públicos y visitantes captados.</w:t>
      </w:r>
    </w:p>
    <w:p>
      <w:pPr>
        <w:pStyle w:val="ListBullet"/>
      </w:pPr>
      <w:r>
        <w:rPr>
          <w:rFonts w:ascii="Aptos" w:hAnsi="Aptos"/>
          <w:color w:val="18232B"/>
          <w:sz w:val="21"/>
        </w:rPr>
        <w:t>El número de operadores, impresoras y dispositivos todavía es desconocido. Separar licencia, operación y equipos evita asumir costos que no han sido medidos.</w:t>
      </w:r>
    </w:p>
    <w:p>
      <w:pPr>
        <w:pStyle w:val="ListBullet"/>
      </w:pPr>
      <w:r>
        <w:rPr>
          <w:rFonts w:ascii="Aptos" w:hAnsi="Aptos"/>
          <w:color w:val="18232B"/>
          <w:sz w:val="21"/>
        </w:rPr>
        <w:t>El primer evento funciona como implementación fundadora: requiere acompañamiento mayor que una renovación futura.</w:t>
      </w:r>
    </w:p>
    <w:p>
      <w:pPr>
        <w:pStyle w:val="ListBullet"/>
      </w:pPr>
      <w:r>
        <w:rPr>
          <w:rFonts w:ascii="Aptos" w:hAnsi="Aptos"/>
          <w:color w:val="18232B"/>
          <w:sz w:val="21"/>
        </w:rPr>
        <w:t>El precio fijo permite a la asociación incluir el sistema dentro del presupuesto general o distribuir su costo entre patrocinio y comercialización de stands.</w:t>
      </w:r>
    </w:p>
    <w:p>
      <w:r>
        <w:br w:type="page"/>
      </w:r>
    </w:p>
    <w:p>
      <w:pPr>
        <w:pStyle w:val="Heading1"/>
      </w:pPr>
      <w:r>
        <w:t>3. Alcance incluido en la licencia</w:t>
      </w:r>
    </w:p>
    <w:p>
      <w:pPr>
        <w:pStyle w:val="ListBullet"/>
      </w:pPr>
      <w:r>
        <w:rPr>
          <w:rFonts w:ascii="Aptos" w:hAnsi="Aptos"/>
          <w:color w:val="18232B"/>
          <w:sz w:val="21"/>
        </w:rPr>
        <w:t>configuración de la organización y del evento;</w:t>
      </w:r>
    </w:p>
    <w:p>
      <w:pPr>
        <w:pStyle w:val="ListBullet"/>
      </w:pPr>
      <w:r>
        <w:rPr>
          <w:rFonts w:ascii="Aptos" w:hAnsi="Aptos"/>
          <w:color w:val="18232B"/>
          <w:sz w:val="21"/>
        </w:rPr>
        <w:t>landing y formulario de registro del evento;</w:t>
      </w:r>
    </w:p>
    <w:p>
      <w:pPr>
        <w:pStyle w:val="ListBullet"/>
      </w:pPr>
      <w:r>
        <w:rPr>
          <w:rFonts w:ascii="Aptos" w:hAnsi="Aptos"/>
          <w:color w:val="18232B"/>
          <w:sz w:val="21"/>
        </w:rPr>
        <w:t>registro gratuito de participantes;</w:t>
      </w:r>
    </w:p>
    <w:p>
      <w:pPr>
        <w:pStyle w:val="ListBullet"/>
      </w:pPr>
      <w:r>
        <w:rPr>
          <w:rFonts w:ascii="Aptos" w:hAnsi="Aptos"/>
          <w:color w:val="18232B"/>
          <w:sz w:val="21"/>
        </w:rPr>
        <w:t>credencial con código QR;</w:t>
      </w:r>
    </w:p>
    <w:p>
      <w:pPr>
        <w:pStyle w:val="ListBullet"/>
      </w:pPr>
      <w:r>
        <w:rPr>
          <w:rFonts w:ascii="Aptos" w:hAnsi="Aptos"/>
          <w:color w:val="18232B"/>
          <w:sz w:val="21"/>
        </w:rPr>
        <w:t>panel del organizador;</w:t>
      </w:r>
    </w:p>
    <w:p>
      <w:pPr>
        <w:pStyle w:val="ListBullet"/>
      </w:pPr>
      <w:r>
        <w:rPr>
          <w:rFonts w:ascii="Aptos" w:hAnsi="Aptos"/>
          <w:color w:val="18232B"/>
          <w:sz w:val="21"/>
        </w:rPr>
        <w:t>agenda de foros, charlas y actividades;</w:t>
      </w:r>
    </w:p>
    <w:p>
      <w:pPr>
        <w:pStyle w:val="ListBullet"/>
      </w:pPr>
      <w:r>
        <w:rPr>
          <w:rFonts w:ascii="Aptos" w:hAnsi="Aptos"/>
          <w:color w:val="18232B"/>
          <w:sz w:val="21"/>
        </w:rPr>
        <w:t>plano de foro y plano de exposición con las capacidades actuales;</w:t>
      </w:r>
    </w:p>
    <w:p>
      <w:pPr>
        <w:pStyle w:val="ListBullet"/>
      </w:pPr>
      <w:r>
        <w:rPr>
          <w:rFonts w:ascii="Aptos" w:hAnsi="Aptos"/>
          <w:color w:val="18232B"/>
          <w:sz w:val="21"/>
        </w:rPr>
        <w:t>gestión y asignación de empresas expositoras y stands;</w:t>
      </w:r>
    </w:p>
    <w:p>
      <w:pPr>
        <w:pStyle w:val="ListBullet"/>
      </w:pPr>
      <w:r>
        <w:rPr>
          <w:rFonts w:ascii="Aptos" w:hAnsi="Aptos"/>
          <w:color w:val="18232B"/>
          <w:sz w:val="21"/>
        </w:rPr>
        <w:t>portal del expositor: perfil, personal, tareas y actividades;</w:t>
      </w:r>
    </w:p>
    <w:p>
      <w:pPr>
        <w:pStyle w:val="ListBullet"/>
      </w:pPr>
      <w:r>
        <w:rPr>
          <w:rFonts w:ascii="Aptos" w:hAnsi="Aptos"/>
          <w:color w:val="18232B"/>
          <w:sz w:val="21"/>
        </w:rPr>
        <w:t>escaneo y listado de visitantes del stand;</w:t>
      </w:r>
    </w:p>
    <w:p>
      <w:pPr>
        <w:pStyle w:val="ListBullet"/>
      </w:pPr>
      <w:r>
        <w:rPr>
          <w:rFonts w:ascii="Aptos" w:hAnsi="Aptos"/>
          <w:color w:val="18232B"/>
          <w:sz w:val="21"/>
        </w:rPr>
        <w:t>acreditación, check-in e historial de impresión;</w:t>
      </w:r>
    </w:p>
    <w:p>
      <w:pPr>
        <w:pStyle w:val="ListBullet"/>
      </w:pPr>
      <w:r>
        <w:rPr>
          <w:rFonts w:ascii="Aptos" w:hAnsi="Aptos"/>
          <w:color w:val="18232B"/>
          <w:sz w:val="21"/>
        </w:rPr>
        <w:t>correos transaccionales disponibles en el sistema;</w:t>
      </w:r>
    </w:p>
    <w:p>
      <w:pPr>
        <w:pStyle w:val="ListBullet"/>
      </w:pPr>
      <w:r>
        <w:rPr>
          <w:rFonts w:ascii="Aptos" w:hAnsi="Aptos"/>
          <w:color w:val="18232B"/>
          <w:sz w:val="21"/>
        </w:rPr>
        <w:t>exportaciones disponibles;</w:t>
      </w:r>
    </w:p>
    <w:p>
      <w:pPr>
        <w:pStyle w:val="ListBullet"/>
      </w:pPr>
      <w:r>
        <w:rPr>
          <w:rFonts w:ascii="Aptos" w:hAnsi="Aptos"/>
          <w:color w:val="18232B"/>
          <w:sz w:val="21"/>
        </w:rPr>
        <w:t>capacitación y soporte remoto dentro de los límites contratados.</w:t>
      </w:r>
    </w:p>
    <w:p>
      <w:r>
        <w:rPr>
          <w:rFonts w:ascii="Aptos" w:hAnsi="Aptos"/>
          <w:color w:val="18232B"/>
          <w:sz w:val="21"/>
        </w:rPr>
        <w:t>No se debe prometer como incluido aquello que permanezca pendiente en el plan de desarrollo, especialmente operación completamente offline, analítica avanzada de movimientos, mapas de calor, integraciones externas o funciones a medida.</w:t>
      </w:r>
    </w:p>
    <w:p>
      <w:pPr>
        <w:pStyle w:val="Heading1"/>
      </w:pPr>
      <w:r>
        <w:t>4. Variables que modifican el precio</w:t>
      </w:r>
    </w:p>
    <w:p>
      <w:pPr>
        <w:pStyle w:val="Heading2"/>
      </w:pPr>
      <w:r>
        <w:t>Capacidad y complejidad</w:t>
      </w:r>
    </w:p>
    <w:tbl>
      <w:tblPr>
        <w:tblStyle w:val="TableGrid"/>
        <w:tblW w:type="dxa" w:w="9360"/>
        <w:jc w:val="left"/>
        <w:tblLayout w:type="fixed"/>
        <w:tblLook w:firstColumn="1" w:firstRow="1" w:lastColumn="0" w:lastRow="0" w:noHBand="0" w:noVBand="1" w:val="04A0"/>
        <w:tblInd w:w="120" w:type="dxa"/>
      </w:tblPr>
      <w:tblGrid>
        <w:gridCol w:w="3600"/>
        <w:gridCol w:w="5760"/>
      </w:tblGrid>
      <w:tr>
        <w:trPr>
          <w:cantSplit/>
          <w:tblHeader w:val="true"/>
        </w:trPr>
        <w:tc>
          <w:tcPr>
            <w:tcW w:type="dxa" w:w="3600"/>
            <w:vAlign w:val="center"/>
            <w:tcMar>
              <w:top w:w="90" w:type="dxa"/>
              <w:start w:w="120" w:type="dxa"/>
              <w:bottom w:w="90" w:type="dxa"/>
              <w:end w:w="120" w:type="dxa"/>
            </w:tcMar>
            <w:shd w:fill="123047"/>
          </w:tcPr>
          <w:p>
            <w:pPr>
              <w:spacing w:after="0" w:line="252" w:lineRule="auto"/>
            </w:pPr>
            <w:r>
              <w:rPr>
                <w:rFonts w:ascii="Aptos" w:hAnsi="Aptos"/>
                <w:b/>
                <w:color w:val="FFFFFF"/>
                <w:sz w:val="18"/>
              </w:rPr>
              <w:t>Variable adicional</w:t>
            </w:r>
          </w:p>
        </w:tc>
        <w:tc>
          <w:tcPr>
            <w:tcW w:type="dxa" w:w="5760"/>
            <w:vAlign w:val="center"/>
            <w:tcMar>
              <w:top w:w="90" w:type="dxa"/>
              <w:start w:w="120" w:type="dxa"/>
              <w:bottom w:w="90" w:type="dxa"/>
              <w:end w:w="120" w:type="dxa"/>
            </w:tcMar>
            <w:shd w:fill="123047"/>
          </w:tcPr>
          <w:p>
            <w:pPr>
              <w:spacing w:after="0" w:line="252" w:lineRule="auto"/>
            </w:pPr>
            <w:r>
              <w:rPr>
                <w:rFonts w:ascii="Aptos" w:hAnsi="Aptos"/>
                <w:b/>
                <w:color w:val="FFFFFF"/>
                <w:sz w:val="18"/>
              </w:rPr>
              <w:t>Tarifa de referencia</w:t>
            </w:r>
          </w:p>
        </w:tc>
      </w:tr>
      <w:tr>
        <w:trPr>
          <w:cantSplit/>
        </w:trPr>
        <w:tc>
          <w:tcPr>
            <w:tcW w:type="dxa" w:w="3600"/>
            <w:vAlign w:val="center"/>
            <w:tcMar>
              <w:top w:w="90" w:type="dxa"/>
              <w:start w:w="120" w:type="dxa"/>
              <w:bottom w:w="90" w:type="dxa"/>
              <w:end w:w="120" w:type="dxa"/>
            </w:tcMar>
          </w:tcPr>
          <w:p>
            <w:pPr>
              <w:spacing w:after="0" w:line="252" w:lineRule="auto"/>
            </w:pPr>
            <w:r>
              <w:rPr>
                <w:rFonts w:ascii="Aptos" w:hAnsi="Aptos"/>
                <w:color w:val="18232B"/>
                <w:sz w:val="18"/>
              </w:rPr>
              <w:t>Bloque adicional de 500 participantes</w:t>
            </w:r>
          </w:p>
        </w:tc>
        <w:tc>
          <w:tcPr>
            <w:tcW w:type="dxa" w:w="5760"/>
            <w:vAlign w:val="center"/>
            <w:tcMar>
              <w:top w:w="90" w:type="dxa"/>
              <w:start w:w="120" w:type="dxa"/>
              <w:bottom w:w="90" w:type="dxa"/>
              <w:end w:w="120" w:type="dxa"/>
            </w:tcMar>
          </w:tcPr>
          <w:p>
            <w:pPr>
              <w:spacing w:after="0" w:line="252" w:lineRule="auto"/>
            </w:pPr>
            <w:r>
              <w:rPr>
                <w:rFonts w:ascii="Aptos" w:hAnsi="Aptos"/>
                <w:color w:val="18232B"/>
                <w:sz w:val="18"/>
              </w:rPr>
              <w:t>USD 100</w:t>
            </w:r>
          </w:p>
        </w:tc>
      </w:tr>
      <w:tr>
        <w:trPr>
          <w:cantSplit/>
        </w:trPr>
        <w:tc>
          <w:tcPr>
            <w:tcW w:type="dxa" w:w="3600"/>
            <w:vAlign w:val="center"/>
            <w:tcMar>
              <w:top w:w="90" w:type="dxa"/>
              <w:start w:w="120" w:type="dxa"/>
              <w:bottom w:w="90" w:type="dxa"/>
              <w:end w:w="120" w:type="dxa"/>
            </w:tcMar>
            <w:shd w:fill="F3F6F7"/>
          </w:tcPr>
          <w:p>
            <w:pPr>
              <w:spacing w:after="0" w:line="252" w:lineRule="auto"/>
            </w:pPr>
            <w:r>
              <w:rPr>
                <w:rFonts w:ascii="Aptos" w:hAnsi="Aptos"/>
                <w:color w:val="18232B"/>
                <w:sz w:val="18"/>
              </w:rPr>
              <w:t>Bloque adicional de 25 expositores/stands</w:t>
            </w:r>
          </w:p>
        </w:tc>
        <w:tc>
          <w:tcPr>
            <w:tcW w:type="dxa" w:w="5760"/>
            <w:vAlign w:val="center"/>
            <w:tcMar>
              <w:top w:w="90" w:type="dxa"/>
              <w:start w:w="120" w:type="dxa"/>
              <w:bottom w:w="90" w:type="dxa"/>
              <w:end w:w="120" w:type="dxa"/>
            </w:tcMar>
            <w:shd w:fill="F3F6F7"/>
          </w:tcPr>
          <w:p>
            <w:pPr>
              <w:spacing w:after="0" w:line="252" w:lineRule="auto"/>
            </w:pPr>
            <w:r>
              <w:rPr>
                <w:rFonts w:ascii="Aptos" w:hAnsi="Aptos"/>
                <w:color w:val="18232B"/>
                <w:sz w:val="18"/>
              </w:rPr>
              <w:t>USD 125</w:t>
            </w:r>
          </w:p>
        </w:tc>
      </w:tr>
      <w:tr>
        <w:trPr>
          <w:cantSplit/>
        </w:trPr>
        <w:tc>
          <w:tcPr>
            <w:tcW w:type="dxa" w:w="3600"/>
            <w:vAlign w:val="center"/>
            <w:tcMar>
              <w:top w:w="90" w:type="dxa"/>
              <w:start w:w="120" w:type="dxa"/>
              <w:bottom w:w="90" w:type="dxa"/>
              <w:end w:w="120" w:type="dxa"/>
            </w:tcMar>
          </w:tcPr>
          <w:p>
            <w:pPr>
              <w:spacing w:after="0" w:line="252" w:lineRule="auto"/>
            </w:pPr>
            <w:r>
              <w:rPr>
                <w:rFonts w:ascii="Aptos" w:hAnsi="Aptos"/>
                <w:color w:val="18232B"/>
                <w:sz w:val="18"/>
              </w:rPr>
              <w:t>Usuario administrador adicional sobre el límite</w:t>
            </w:r>
          </w:p>
        </w:tc>
        <w:tc>
          <w:tcPr>
            <w:tcW w:type="dxa" w:w="5760"/>
            <w:vAlign w:val="center"/>
            <w:tcMar>
              <w:top w:w="90" w:type="dxa"/>
              <w:start w:w="120" w:type="dxa"/>
              <w:bottom w:w="90" w:type="dxa"/>
              <w:end w:w="120" w:type="dxa"/>
            </w:tcMar>
          </w:tcPr>
          <w:p>
            <w:pPr>
              <w:spacing w:after="0" w:line="252" w:lineRule="auto"/>
            </w:pPr>
            <w:r>
              <w:rPr>
                <w:rFonts w:ascii="Aptos" w:hAnsi="Aptos"/>
                <w:color w:val="18232B"/>
                <w:sz w:val="18"/>
              </w:rPr>
              <w:t>USD 25</w:t>
            </w:r>
          </w:p>
        </w:tc>
      </w:tr>
      <w:tr>
        <w:trPr>
          <w:cantSplit/>
        </w:trPr>
        <w:tc>
          <w:tcPr>
            <w:tcW w:type="dxa" w:w="3600"/>
            <w:vAlign w:val="center"/>
            <w:tcMar>
              <w:top w:w="90" w:type="dxa"/>
              <w:start w:w="120" w:type="dxa"/>
              <w:bottom w:w="90" w:type="dxa"/>
              <w:end w:w="120" w:type="dxa"/>
            </w:tcMar>
            <w:shd w:fill="F3F6F7"/>
          </w:tcPr>
          <w:p>
            <w:pPr>
              <w:spacing w:after="0" w:line="252" w:lineRule="auto"/>
            </w:pPr>
            <w:r>
              <w:rPr>
                <w:rFonts w:ascii="Aptos" w:hAnsi="Aptos"/>
                <w:color w:val="18232B"/>
                <w:sz w:val="18"/>
              </w:rPr>
              <w:t>Punto de acreditación/impresión adicional, sólo configuración</w:t>
            </w:r>
          </w:p>
        </w:tc>
        <w:tc>
          <w:tcPr>
            <w:tcW w:type="dxa" w:w="5760"/>
            <w:vAlign w:val="center"/>
            <w:tcMar>
              <w:top w:w="90" w:type="dxa"/>
              <w:start w:w="120" w:type="dxa"/>
              <w:bottom w:w="90" w:type="dxa"/>
              <w:end w:w="120" w:type="dxa"/>
            </w:tcMar>
            <w:shd w:fill="F3F6F7"/>
          </w:tcPr>
          <w:p>
            <w:pPr>
              <w:spacing w:after="0" w:line="252" w:lineRule="auto"/>
            </w:pPr>
            <w:r>
              <w:rPr>
                <w:rFonts w:ascii="Aptos" w:hAnsi="Aptos"/>
                <w:color w:val="18232B"/>
                <w:sz w:val="18"/>
              </w:rPr>
              <w:t>USD 75</w:t>
            </w:r>
          </w:p>
        </w:tc>
      </w:tr>
      <w:tr>
        <w:trPr>
          <w:cantSplit/>
        </w:trPr>
        <w:tc>
          <w:tcPr>
            <w:tcW w:type="dxa" w:w="3600"/>
            <w:vAlign w:val="center"/>
            <w:tcMar>
              <w:top w:w="90" w:type="dxa"/>
              <w:start w:w="120" w:type="dxa"/>
              <w:bottom w:w="90" w:type="dxa"/>
              <w:end w:w="120" w:type="dxa"/>
            </w:tcMar>
          </w:tcPr>
          <w:p>
            <w:pPr>
              <w:spacing w:after="0" w:line="252" w:lineRule="auto"/>
            </w:pPr>
            <w:r>
              <w:rPr>
                <w:rFonts w:ascii="Aptos" w:hAnsi="Aptos"/>
                <w:color w:val="18232B"/>
                <w:sz w:val="18"/>
              </w:rPr>
              <w:t>Capacitación remota adicional</w:t>
            </w:r>
          </w:p>
        </w:tc>
        <w:tc>
          <w:tcPr>
            <w:tcW w:type="dxa" w:w="5760"/>
            <w:vAlign w:val="center"/>
            <w:tcMar>
              <w:top w:w="90" w:type="dxa"/>
              <w:start w:w="120" w:type="dxa"/>
              <w:bottom w:w="90" w:type="dxa"/>
              <w:end w:w="120" w:type="dxa"/>
            </w:tcMar>
          </w:tcPr>
          <w:p>
            <w:pPr>
              <w:spacing w:after="0" w:line="252" w:lineRule="auto"/>
            </w:pPr>
            <w:r>
              <w:rPr>
                <w:rFonts w:ascii="Aptos" w:hAnsi="Aptos"/>
                <w:color w:val="18232B"/>
                <w:sz w:val="18"/>
              </w:rPr>
              <w:t>USD 35 por hora</w:t>
            </w:r>
          </w:p>
        </w:tc>
      </w:tr>
      <w:tr>
        <w:trPr>
          <w:cantSplit/>
        </w:trPr>
        <w:tc>
          <w:tcPr>
            <w:tcW w:type="dxa" w:w="3600"/>
            <w:vAlign w:val="center"/>
            <w:tcMar>
              <w:top w:w="90" w:type="dxa"/>
              <w:start w:w="120" w:type="dxa"/>
              <w:bottom w:w="90" w:type="dxa"/>
              <w:end w:w="120" w:type="dxa"/>
            </w:tcMar>
            <w:shd w:fill="F3F6F7"/>
          </w:tcPr>
          <w:p>
            <w:pPr>
              <w:spacing w:after="0" w:line="252" w:lineRule="auto"/>
            </w:pPr>
            <w:r>
              <w:rPr>
                <w:rFonts w:ascii="Aptos" w:hAnsi="Aptos"/>
                <w:color w:val="18232B"/>
                <w:sz w:val="18"/>
              </w:rPr>
              <w:t>Importación o depuración especial de datos</w:t>
            </w:r>
          </w:p>
        </w:tc>
        <w:tc>
          <w:tcPr>
            <w:tcW w:type="dxa" w:w="5760"/>
            <w:vAlign w:val="center"/>
            <w:tcMar>
              <w:top w:w="90" w:type="dxa"/>
              <w:start w:w="120" w:type="dxa"/>
              <w:bottom w:w="90" w:type="dxa"/>
              <w:end w:w="120" w:type="dxa"/>
            </w:tcMar>
            <w:shd w:fill="F3F6F7"/>
          </w:tcPr>
          <w:p>
            <w:pPr>
              <w:spacing w:after="0" w:line="252" w:lineRule="auto"/>
            </w:pPr>
            <w:r>
              <w:rPr>
                <w:rFonts w:ascii="Aptos" w:hAnsi="Aptos"/>
                <w:color w:val="18232B"/>
                <w:sz w:val="18"/>
              </w:rPr>
              <w:t>Desde USD 100</w:t>
            </w:r>
          </w:p>
        </w:tc>
      </w:tr>
      <w:tr>
        <w:trPr>
          <w:cantSplit/>
        </w:trPr>
        <w:tc>
          <w:tcPr>
            <w:tcW w:type="dxa" w:w="3600"/>
            <w:vAlign w:val="center"/>
            <w:tcMar>
              <w:top w:w="90" w:type="dxa"/>
              <w:start w:w="120" w:type="dxa"/>
              <w:bottom w:w="90" w:type="dxa"/>
              <w:end w:w="120" w:type="dxa"/>
            </w:tcMar>
          </w:tcPr>
          <w:p>
            <w:pPr>
              <w:spacing w:after="0" w:line="252" w:lineRule="auto"/>
            </w:pPr>
            <w:r>
              <w:rPr>
                <w:rFonts w:ascii="Aptos" w:hAnsi="Aptos"/>
                <w:color w:val="18232B"/>
                <w:sz w:val="18"/>
              </w:rPr>
              <w:t>Cambio o reporte fuera del producto contratado</w:t>
            </w:r>
          </w:p>
        </w:tc>
        <w:tc>
          <w:tcPr>
            <w:tcW w:type="dxa" w:w="5760"/>
            <w:vAlign w:val="center"/>
            <w:tcMar>
              <w:top w:w="90" w:type="dxa"/>
              <w:start w:w="120" w:type="dxa"/>
              <w:bottom w:w="90" w:type="dxa"/>
              <w:end w:w="120" w:type="dxa"/>
            </w:tcMar>
          </w:tcPr>
          <w:p>
            <w:pPr>
              <w:spacing w:after="0" w:line="252" w:lineRule="auto"/>
            </w:pPr>
            <w:r>
              <w:rPr>
                <w:rFonts w:ascii="Aptos" w:hAnsi="Aptos"/>
                <w:color w:val="18232B"/>
                <w:sz w:val="18"/>
              </w:rPr>
              <w:t>USD 35 por hora, previa aprobación</w:t>
            </w:r>
          </w:p>
        </w:tc>
      </w:tr>
      <w:tr>
        <w:trPr>
          <w:cantSplit/>
        </w:trPr>
        <w:tc>
          <w:tcPr>
            <w:tcW w:type="dxa" w:w="3600"/>
            <w:vAlign w:val="center"/>
            <w:tcMar>
              <w:top w:w="90" w:type="dxa"/>
              <w:start w:w="120" w:type="dxa"/>
              <w:bottom w:w="90" w:type="dxa"/>
              <w:end w:w="120" w:type="dxa"/>
            </w:tcMar>
            <w:shd w:fill="F3F6F7"/>
          </w:tcPr>
          <w:p>
            <w:pPr>
              <w:spacing w:after="0" w:line="252" w:lineRule="auto"/>
            </w:pPr>
            <w:r>
              <w:rPr>
                <w:rFonts w:ascii="Aptos" w:hAnsi="Aptos"/>
                <w:color w:val="18232B"/>
                <w:sz w:val="18"/>
              </w:rPr>
              <w:t>Día adicional de soporte remoto intensivo</w:t>
            </w:r>
          </w:p>
        </w:tc>
        <w:tc>
          <w:tcPr>
            <w:tcW w:type="dxa" w:w="5760"/>
            <w:vAlign w:val="center"/>
            <w:tcMar>
              <w:top w:w="90" w:type="dxa"/>
              <w:start w:w="120" w:type="dxa"/>
              <w:bottom w:w="90" w:type="dxa"/>
              <w:end w:w="120" w:type="dxa"/>
            </w:tcMar>
            <w:shd w:fill="F3F6F7"/>
          </w:tcPr>
          <w:p>
            <w:pPr>
              <w:spacing w:after="0" w:line="252" w:lineRule="auto"/>
            </w:pPr>
            <w:r>
              <w:rPr>
                <w:rFonts w:ascii="Aptos" w:hAnsi="Aptos"/>
                <w:color w:val="18232B"/>
                <w:sz w:val="18"/>
              </w:rPr>
              <w:t>USD 150</w:t>
            </w:r>
          </w:p>
        </w:tc>
      </w:tr>
      <w:tr>
        <w:trPr>
          <w:cantSplit/>
        </w:trPr>
        <w:tc>
          <w:tcPr>
            <w:tcW w:type="dxa" w:w="3600"/>
            <w:vAlign w:val="center"/>
            <w:tcMar>
              <w:top w:w="90" w:type="dxa"/>
              <w:start w:w="120" w:type="dxa"/>
              <w:bottom w:w="90" w:type="dxa"/>
              <w:end w:w="120" w:type="dxa"/>
            </w:tcMar>
          </w:tcPr>
          <w:p>
            <w:pPr>
              <w:spacing w:after="0" w:line="252" w:lineRule="auto"/>
            </w:pPr>
            <w:r>
              <w:rPr>
                <w:rFonts w:ascii="Aptos" w:hAnsi="Aptos"/>
                <w:color w:val="18232B"/>
                <w:sz w:val="18"/>
              </w:rPr>
              <w:t>Soporte presencial</w:t>
            </w:r>
          </w:p>
        </w:tc>
        <w:tc>
          <w:tcPr>
            <w:tcW w:type="dxa" w:w="5760"/>
            <w:vAlign w:val="center"/>
            <w:tcMar>
              <w:top w:w="90" w:type="dxa"/>
              <w:start w:w="120" w:type="dxa"/>
              <w:bottom w:w="90" w:type="dxa"/>
              <w:end w:w="120" w:type="dxa"/>
            </w:tcMar>
          </w:tcPr>
          <w:p>
            <w:pPr>
              <w:spacing w:after="0" w:line="252" w:lineRule="auto"/>
            </w:pPr>
            <w:r>
              <w:rPr>
                <w:rFonts w:ascii="Aptos" w:hAnsi="Aptos"/>
                <w:color w:val="18232B"/>
                <w:sz w:val="18"/>
              </w:rPr>
              <w:t>Cotización separada</w:t>
            </w:r>
          </w:p>
        </w:tc>
      </w:tr>
    </w:tbl>
    <w:p>
      <w:pPr>
        <w:spacing w:after="0"/>
      </w:pPr>
    </w:p>
    <w:p>
      <w:r>
        <w:rPr>
          <w:rFonts w:ascii="Aptos" w:hAnsi="Aptos"/>
          <w:color w:val="18232B"/>
          <w:sz w:val="21"/>
        </w:rPr>
        <w:t>Los límites son comerciales y de soporte, no deben presentarse como límites técnicos sin haberlos verificado.</w:t>
      </w:r>
    </w:p>
    <w:p>
      <w:pPr>
        <w:pStyle w:val="Heading2"/>
      </w:pPr>
      <w:r>
        <w:t>Equipos e impresión</w:t>
      </w:r>
    </w:p>
    <w:p>
      <w:r>
        <w:rPr>
          <w:rFonts w:ascii="Aptos" w:hAnsi="Aptos"/>
          <w:color w:val="18232B"/>
          <w:sz w:val="21"/>
        </w:rPr>
        <w:t xml:space="preserve">La licencia </w:t>
      </w:r>
      <w:r>
        <w:rPr>
          <w:rFonts w:ascii="Aptos" w:hAnsi="Aptos"/>
          <w:b/>
          <w:color w:val="18232B"/>
          <w:sz w:val="21"/>
        </w:rPr>
        <w:t>no incluye</w:t>
      </w:r>
      <w:r>
        <w:rPr>
          <w:rFonts w:ascii="Aptos" w:hAnsi="Aptos"/>
          <w:color w:val="18232B"/>
          <w:sz w:val="21"/>
        </w:rPr>
        <w:t xml:space="preserve"> impresoras, computadoras, teléfonos, tabletas, lectores, etiquetas, ribbons, papel, conectividad, UPS, traslado ni personal operativo.</w:t>
      </w:r>
    </w:p>
    <w:p>
      <w:r>
        <w:rPr>
          <w:rFonts w:ascii="Aptos" w:hAnsi="Aptos"/>
          <w:color w:val="18232B"/>
          <w:sz w:val="21"/>
        </w:rPr>
        <w:t>Para cada punto físico se debe cotizar por separado:</w:t>
      </w:r>
    </w:p>
    <w:p>
      <w:pPr>
        <w:pStyle w:val="ListNumber"/>
      </w:pPr>
      <w:r>
        <w:rPr>
          <w:rFonts w:ascii="Aptos" w:hAnsi="Aptos"/>
          <w:color w:val="18232B"/>
          <w:sz w:val="21"/>
        </w:rPr>
        <w:t>equipo suministrado por el cliente o alquilado;</w:t>
      </w:r>
    </w:p>
    <w:p>
      <w:pPr>
        <w:pStyle w:val="ListNumber"/>
      </w:pPr>
      <w:r>
        <w:rPr>
          <w:rFonts w:ascii="Aptos" w:hAnsi="Aptos"/>
          <w:color w:val="18232B"/>
          <w:sz w:val="21"/>
        </w:rPr>
        <w:t>modelo de impresora y compatibilidad;</w:t>
      </w:r>
    </w:p>
    <w:p>
      <w:pPr>
        <w:pStyle w:val="ListNumber"/>
      </w:pPr>
      <w:r>
        <w:rPr>
          <w:rFonts w:ascii="Aptos" w:hAnsi="Aptos"/>
          <w:color w:val="18232B"/>
          <w:sz w:val="21"/>
        </w:rPr>
        <w:t>credencial preimpresa, etiqueta o tarjeta;</w:t>
      </w:r>
    </w:p>
    <w:p>
      <w:pPr>
        <w:pStyle w:val="ListNumber"/>
      </w:pPr>
      <w:r>
        <w:rPr>
          <w:rFonts w:ascii="Aptos" w:hAnsi="Aptos"/>
          <w:color w:val="18232B"/>
          <w:sz w:val="21"/>
        </w:rPr>
        <w:t>consumibles y un margen de contingencia mínimo del 10 %;</w:t>
      </w:r>
    </w:p>
    <w:p>
      <w:pPr>
        <w:pStyle w:val="ListNumber"/>
      </w:pPr>
      <w:r>
        <w:rPr>
          <w:rFonts w:ascii="Aptos" w:hAnsi="Aptos"/>
          <w:color w:val="18232B"/>
          <w:sz w:val="21"/>
        </w:rPr>
        <w:t>computadora o tableta;</w:t>
      </w:r>
    </w:p>
    <w:p>
      <w:pPr>
        <w:pStyle w:val="ListNumber"/>
      </w:pPr>
      <w:r>
        <w:rPr>
          <w:rFonts w:ascii="Aptos" w:hAnsi="Aptos"/>
          <w:color w:val="18232B"/>
          <w:sz w:val="21"/>
        </w:rPr>
        <w:t>lector QR si no se utiliza cámara;</w:t>
      </w:r>
    </w:p>
    <w:p>
      <w:pPr>
        <w:pStyle w:val="ListNumber"/>
      </w:pPr>
      <w:r>
        <w:rPr>
          <w:rFonts w:ascii="Aptos" w:hAnsi="Aptos"/>
          <w:color w:val="18232B"/>
          <w:sz w:val="21"/>
        </w:rPr>
        <w:t>conectividad principal y respaldo;</w:t>
      </w:r>
    </w:p>
    <w:p>
      <w:pPr>
        <w:pStyle w:val="ListNumber"/>
      </w:pPr>
      <w:r>
        <w:rPr>
          <w:rFonts w:ascii="Aptos" w:hAnsi="Aptos"/>
          <w:color w:val="18232B"/>
          <w:sz w:val="21"/>
        </w:rPr>
        <w:t>UPS o batería;</w:t>
      </w:r>
    </w:p>
    <w:p>
      <w:pPr>
        <w:pStyle w:val="ListNumber"/>
      </w:pPr>
      <w:r>
        <w:rPr>
          <w:rFonts w:ascii="Aptos" w:hAnsi="Aptos"/>
          <w:color w:val="18232B"/>
          <w:sz w:val="21"/>
        </w:rPr>
        <w:t>operador y supervisor;</w:t>
      </w:r>
    </w:p>
    <w:p>
      <w:pPr>
        <w:pStyle w:val="ListNumber"/>
      </w:pPr>
      <w:r>
        <w:rPr>
          <w:rFonts w:ascii="Aptos" w:hAnsi="Aptos"/>
          <w:color w:val="18232B"/>
          <w:sz w:val="21"/>
        </w:rPr>
        <w:t>instalación, prueba, traslado y retiro.</w:t>
      </w:r>
    </w:p>
    <w:p>
      <w:r>
        <w:rPr>
          <w:rFonts w:ascii="Aptos" w:hAnsi="Aptos"/>
          <w:color w:val="18232B"/>
          <w:sz w:val="21"/>
        </w:rPr>
        <w:t>Nunca se debe fijar el precio de impresión antes de conocer el formato de la credencial, volumen, impresora y consumible.</w:t>
      </w:r>
    </w:p>
    <w:p>
      <w:pPr>
        <w:pStyle w:val="Heading1"/>
      </w:pPr>
      <w:r>
        <w:t>5. Escenarios para estimar hoy</w:t>
      </w:r>
    </w:p>
    <w:tbl>
      <w:tblPr>
        <w:tblStyle w:val="TableGrid"/>
        <w:tblW w:type="dxa" w:w="9360"/>
        <w:jc w:val="left"/>
        <w:tblLayout w:type="fixed"/>
        <w:tblLook w:firstColumn="1" w:firstRow="1" w:lastColumn="0" w:lastRow="0" w:noHBand="0" w:noVBand="1" w:val="04A0"/>
        <w:tblInd w:w="120" w:type="dxa"/>
      </w:tblPr>
      <w:tblGrid>
        <w:gridCol w:w="1700"/>
        <w:gridCol w:w="2700"/>
        <w:gridCol w:w="2400"/>
        <w:gridCol w:w="2560"/>
      </w:tblGrid>
      <w:tr>
        <w:trPr>
          <w:cantSplit/>
          <w:tblHeader w:val="true"/>
        </w:trPr>
        <w:tc>
          <w:tcPr>
            <w:tcW w:type="dxa" w:w="1700"/>
            <w:vAlign w:val="center"/>
            <w:tcMar>
              <w:top w:w="90" w:type="dxa"/>
              <w:start w:w="120" w:type="dxa"/>
              <w:bottom w:w="90" w:type="dxa"/>
              <w:end w:w="120" w:type="dxa"/>
            </w:tcMar>
            <w:shd w:fill="123047"/>
          </w:tcPr>
          <w:p>
            <w:pPr>
              <w:spacing w:after="0" w:line="252" w:lineRule="auto"/>
            </w:pPr>
            <w:r>
              <w:rPr>
                <w:rFonts w:ascii="Aptos" w:hAnsi="Aptos"/>
                <w:b/>
                <w:color w:val="FFFFFF"/>
                <w:sz w:val="18"/>
              </w:rPr>
              <w:t>Escenario</w:t>
            </w:r>
          </w:p>
        </w:tc>
        <w:tc>
          <w:tcPr>
            <w:tcW w:type="dxa" w:w="2700"/>
            <w:vAlign w:val="center"/>
            <w:tcMar>
              <w:top w:w="90" w:type="dxa"/>
              <w:start w:w="120" w:type="dxa"/>
              <w:bottom w:w="90" w:type="dxa"/>
              <w:end w:w="120" w:type="dxa"/>
            </w:tcMar>
            <w:shd w:fill="123047"/>
          </w:tcPr>
          <w:p>
            <w:pPr>
              <w:spacing w:after="0" w:line="252" w:lineRule="auto"/>
            </w:pPr>
            <w:r>
              <w:rPr>
                <w:rFonts w:ascii="Aptos" w:hAnsi="Aptos"/>
                <w:b/>
                <w:color w:val="FFFFFF"/>
                <w:sz w:val="18"/>
              </w:rPr>
              <w:t>Supuesto orientativo</w:t>
            </w:r>
          </w:p>
        </w:tc>
        <w:tc>
          <w:tcPr>
            <w:tcW w:type="dxa" w:w="2400"/>
            <w:vAlign w:val="center"/>
            <w:tcMar>
              <w:top w:w="90" w:type="dxa"/>
              <w:start w:w="120" w:type="dxa"/>
              <w:bottom w:w="90" w:type="dxa"/>
              <w:end w:w="120" w:type="dxa"/>
            </w:tcMar>
            <w:shd w:fill="123047"/>
          </w:tcPr>
          <w:p>
            <w:pPr>
              <w:spacing w:after="0" w:line="252" w:lineRule="auto"/>
            </w:pPr>
            <w:r>
              <w:rPr>
                <w:rFonts w:ascii="Aptos" w:hAnsi="Aptos"/>
                <w:b/>
                <w:color w:val="FFFFFF"/>
                <w:sz w:val="18"/>
              </w:rPr>
              <w:t>Licencia estimada</w:t>
            </w:r>
          </w:p>
        </w:tc>
        <w:tc>
          <w:tcPr>
            <w:tcW w:type="dxa" w:w="2560"/>
            <w:vAlign w:val="center"/>
            <w:tcMar>
              <w:top w:w="90" w:type="dxa"/>
              <w:start w:w="120" w:type="dxa"/>
              <w:bottom w:w="90" w:type="dxa"/>
              <w:end w:w="120" w:type="dxa"/>
            </w:tcMar>
            <w:shd w:fill="123047"/>
          </w:tcPr>
          <w:p>
            <w:pPr>
              <w:spacing w:after="0" w:line="252" w:lineRule="auto"/>
            </w:pPr>
            <w:r>
              <w:rPr>
                <w:rFonts w:ascii="Aptos" w:hAnsi="Aptos"/>
                <w:b/>
                <w:color w:val="FFFFFF"/>
                <w:sz w:val="18"/>
              </w:rPr>
              <w:t>Operación/equipos</w:t>
            </w:r>
          </w:p>
        </w:tc>
      </w:tr>
      <w:tr>
        <w:trPr>
          <w:cantSplit/>
        </w:trPr>
        <w:tc>
          <w:tcPr>
            <w:tcW w:type="dxa" w:w="1700"/>
            <w:vAlign w:val="center"/>
            <w:tcMar>
              <w:top w:w="90" w:type="dxa"/>
              <w:start w:w="120" w:type="dxa"/>
              <w:bottom w:w="90" w:type="dxa"/>
              <w:end w:w="120" w:type="dxa"/>
            </w:tcMar>
          </w:tcPr>
          <w:p>
            <w:pPr>
              <w:spacing w:after="0" w:line="252" w:lineRule="auto"/>
            </w:pPr>
            <w:r>
              <w:rPr>
                <w:rFonts w:ascii="Aptos" w:hAnsi="Aptos"/>
                <w:color w:val="18232B"/>
                <w:sz w:val="18"/>
              </w:rPr>
              <w:t>Piloto controlado</w:t>
            </w:r>
          </w:p>
        </w:tc>
        <w:tc>
          <w:tcPr>
            <w:tcW w:type="dxa" w:w="2700"/>
            <w:vAlign w:val="center"/>
            <w:tcMar>
              <w:top w:w="90" w:type="dxa"/>
              <w:start w:w="120" w:type="dxa"/>
              <w:bottom w:w="90" w:type="dxa"/>
              <w:end w:w="120" w:type="dxa"/>
            </w:tcMar>
          </w:tcPr>
          <w:p>
            <w:pPr>
              <w:spacing w:after="0" w:line="252" w:lineRule="auto"/>
            </w:pPr>
            <w:r>
              <w:rPr>
                <w:rFonts w:ascii="Aptos" w:hAnsi="Aptos"/>
                <w:color w:val="18232B"/>
                <w:sz w:val="18"/>
              </w:rPr>
              <w:t>Hasta 500 participantes, 30 stands, 1 punto</w:t>
            </w:r>
          </w:p>
        </w:tc>
        <w:tc>
          <w:tcPr>
            <w:tcW w:type="dxa" w:w="2400"/>
            <w:vAlign w:val="center"/>
            <w:tcMar>
              <w:top w:w="90" w:type="dxa"/>
              <w:start w:w="120" w:type="dxa"/>
              <w:bottom w:w="90" w:type="dxa"/>
              <w:end w:w="120" w:type="dxa"/>
            </w:tcMar>
          </w:tcPr>
          <w:p>
            <w:pPr>
              <w:spacing w:after="0" w:line="252" w:lineRule="auto"/>
            </w:pPr>
            <w:r>
              <w:rPr>
                <w:rFonts w:ascii="Aptos" w:hAnsi="Aptos"/>
                <w:color w:val="18232B"/>
                <w:sz w:val="18"/>
              </w:rPr>
              <w:t>USD 900</w:t>
            </w:r>
          </w:p>
        </w:tc>
        <w:tc>
          <w:tcPr>
            <w:tcW w:type="dxa" w:w="2560"/>
            <w:vAlign w:val="center"/>
            <w:tcMar>
              <w:top w:w="90" w:type="dxa"/>
              <w:start w:w="120" w:type="dxa"/>
              <w:bottom w:w="90" w:type="dxa"/>
              <w:end w:w="120" w:type="dxa"/>
            </w:tcMar>
          </w:tcPr>
          <w:p>
            <w:pPr>
              <w:spacing w:after="0" w:line="252" w:lineRule="auto"/>
            </w:pPr>
            <w:r>
              <w:rPr>
                <w:rFonts w:ascii="Aptos" w:hAnsi="Aptos"/>
                <w:color w:val="18232B"/>
                <w:sz w:val="18"/>
              </w:rPr>
              <w:t>No incluidos</w:t>
            </w:r>
          </w:p>
        </w:tc>
      </w:tr>
      <w:tr>
        <w:trPr>
          <w:cantSplit/>
        </w:trPr>
        <w:tc>
          <w:tcPr>
            <w:tcW w:type="dxa" w:w="1700"/>
            <w:vAlign w:val="center"/>
            <w:tcMar>
              <w:top w:w="90" w:type="dxa"/>
              <w:start w:w="120" w:type="dxa"/>
              <w:bottom w:w="90" w:type="dxa"/>
              <w:end w:w="120" w:type="dxa"/>
            </w:tcMar>
            <w:shd w:fill="F3F6F7"/>
          </w:tcPr>
          <w:p>
            <w:pPr>
              <w:spacing w:after="0" w:line="252" w:lineRule="auto"/>
            </w:pPr>
            <w:r>
              <w:rPr>
                <w:rFonts w:ascii="Aptos" w:hAnsi="Aptos"/>
                <w:color w:val="18232B"/>
                <w:sz w:val="18"/>
              </w:rPr>
              <w:t>Recomendado</w:t>
            </w:r>
          </w:p>
        </w:tc>
        <w:tc>
          <w:tcPr>
            <w:tcW w:type="dxa" w:w="2700"/>
            <w:vAlign w:val="center"/>
            <w:tcMar>
              <w:top w:w="90" w:type="dxa"/>
              <w:start w:w="120" w:type="dxa"/>
              <w:bottom w:w="90" w:type="dxa"/>
              <w:end w:w="120" w:type="dxa"/>
            </w:tcMar>
            <w:shd w:fill="F3F6F7"/>
          </w:tcPr>
          <w:p>
            <w:pPr>
              <w:spacing w:after="0" w:line="252" w:lineRule="auto"/>
            </w:pPr>
            <w:r>
              <w:rPr>
                <w:rFonts w:ascii="Aptos" w:hAnsi="Aptos"/>
                <w:color w:val="18232B"/>
                <w:sz w:val="18"/>
              </w:rPr>
              <w:t>Hasta 1.500 participantes, 75 stands, 3 puntos</w:t>
            </w:r>
          </w:p>
        </w:tc>
        <w:tc>
          <w:tcPr>
            <w:tcW w:type="dxa" w:w="2400"/>
            <w:vAlign w:val="center"/>
            <w:tcMar>
              <w:top w:w="90" w:type="dxa"/>
              <w:start w:w="120" w:type="dxa"/>
              <w:bottom w:w="90" w:type="dxa"/>
              <w:end w:w="120" w:type="dxa"/>
            </w:tcMar>
            <w:shd w:fill="F3F6F7"/>
          </w:tcPr>
          <w:p>
            <w:pPr>
              <w:spacing w:after="0" w:line="252" w:lineRule="auto"/>
            </w:pPr>
            <w:r>
              <w:rPr>
                <w:rFonts w:ascii="Aptos" w:hAnsi="Aptos"/>
                <w:b/>
                <w:color w:val="18232B"/>
                <w:sz w:val="18"/>
              </w:rPr>
              <w:t>USD 1.200 lanzamiento / USD 1.500 lista</w:t>
            </w:r>
          </w:p>
        </w:tc>
        <w:tc>
          <w:tcPr>
            <w:tcW w:type="dxa" w:w="2560"/>
            <w:vAlign w:val="center"/>
            <w:tcMar>
              <w:top w:w="90" w:type="dxa"/>
              <w:start w:w="120" w:type="dxa"/>
              <w:bottom w:w="90" w:type="dxa"/>
              <w:end w:w="120" w:type="dxa"/>
            </w:tcMar>
            <w:shd w:fill="F3F6F7"/>
          </w:tcPr>
          <w:p>
            <w:pPr>
              <w:spacing w:after="0" w:line="252" w:lineRule="auto"/>
            </w:pPr>
            <w:r>
              <w:rPr>
                <w:rFonts w:ascii="Aptos" w:hAnsi="Aptos"/>
                <w:color w:val="18232B"/>
                <w:sz w:val="18"/>
              </w:rPr>
              <w:t>No incluidos</w:t>
            </w:r>
          </w:p>
        </w:tc>
      </w:tr>
      <w:tr>
        <w:trPr>
          <w:cantSplit/>
        </w:trPr>
        <w:tc>
          <w:tcPr>
            <w:tcW w:type="dxa" w:w="1700"/>
            <w:vAlign w:val="center"/>
            <w:tcMar>
              <w:top w:w="90" w:type="dxa"/>
              <w:start w:w="120" w:type="dxa"/>
              <w:bottom w:w="90" w:type="dxa"/>
              <w:end w:w="120" w:type="dxa"/>
            </w:tcMar>
          </w:tcPr>
          <w:p>
            <w:pPr>
              <w:spacing w:after="0" w:line="252" w:lineRule="auto"/>
            </w:pPr>
            <w:r>
              <w:rPr>
                <w:rFonts w:ascii="Aptos" w:hAnsi="Aptos"/>
                <w:color w:val="18232B"/>
                <w:sz w:val="18"/>
              </w:rPr>
              <w:t>Ampliado</w:t>
            </w:r>
          </w:p>
        </w:tc>
        <w:tc>
          <w:tcPr>
            <w:tcW w:type="dxa" w:w="2700"/>
            <w:vAlign w:val="center"/>
            <w:tcMar>
              <w:top w:w="90" w:type="dxa"/>
              <w:start w:w="120" w:type="dxa"/>
              <w:bottom w:w="90" w:type="dxa"/>
              <w:end w:w="120" w:type="dxa"/>
            </w:tcMar>
          </w:tcPr>
          <w:p>
            <w:pPr>
              <w:spacing w:after="0" w:line="252" w:lineRule="auto"/>
            </w:pPr>
            <w:r>
              <w:rPr>
                <w:rFonts w:ascii="Aptos" w:hAnsi="Aptos"/>
                <w:color w:val="18232B"/>
                <w:sz w:val="18"/>
              </w:rPr>
              <w:t>Hasta 3.000 participantes, 150 stands, 6 puntos</w:t>
            </w:r>
          </w:p>
        </w:tc>
        <w:tc>
          <w:tcPr>
            <w:tcW w:type="dxa" w:w="2400"/>
            <w:vAlign w:val="center"/>
            <w:tcMar>
              <w:top w:w="90" w:type="dxa"/>
              <w:start w:w="120" w:type="dxa"/>
              <w:bottom w:w="90" w:type="dxa"/>
              <w:end w:w="120" w:type="dxa"/>
            </w:tcMar>
          </w:tcPr>
          <w:p>
            <w:pPr>
              <w:spacing w:after="0" w:line="252" w:lineRule="auto"/>
            </w:pPr>
            <w:r>
              <w:rPr>
                <w:rFonts w:ascii="Aptos" w:hAnsi="Aptos"/>
                <w:color w:val="18232B"/>
                <w:sz w:val="18"/>
              </w:rPr>
              <w:t>USD 2.200–2.700</w:t>
            </w:r>
          </w:p>
        </w:tc>
        <w:tc>
          <w:tcPr>
            <w:tcW w:type="dxa" w:w="2560"/>
            <w:vAlign w:val="center"/>
            <w:tcMar>
              <w:top w:w="90" w:type="dxa"/>
              <w:start w:w="120" w:type="dxa"/>
              <w:bottom w:w="90" w:type="dxa"/>
              <w:end w:w="120" w:type="dxa"/>
            </w:tcMar>
          </w:tcPr>
          <w:p>
            <w:pPr>
              <w:spacing w:after="0" w:line="252" w:lineRule="auto"/>
            </w:pPr>
            <w:r>
              <w:rPr>
                <w:rFonts w:ascii="Aptos" w:hAnsi="Aptos"/>
                <w:color w:val="18232B"/>
                <w:sz w:val="18"/>
              </w:rPr>
              <w:t>No incluidos</w:t>
            </w:r>
          </w:p>
        </w:tc>
      </w:tr>
      <w:tr>
        <w:trPr>
          <w:cantSplit/>
        </w:trPr>
        <w:tc>
          <w:tcPr>
            <w:tcW w:type="dxa" w:w="1700"/>
            <w:vAlign w:val="center"/>
            <w:tcMar>
              <w:top w:w="90" w:type="dxa"/>
              <w:start w:w="120" w:type="dxa"/>
              <w:bottom w:w="90" w:type="dxa"/>
              <w:end w:w="120" w:type="dxa"/>
            </w:tcMar>
            <w:shd w:fill="F3F6F7"/>
          </w:tcPr>
          <w:p>
            <w:pPr>
              <w:spacing w:after="0" w:line="252" w:lineRule="auto"/>
            </w:pPr>
            <w:r>
              <w:rPr>
                <w:rFonts w:ascii="Aptos" w:hAnsi="Aptos"/>
                <w:color w:val="18232B"/>
                <w:sz w:val="18"/>
              </w:rPr>
              <w:t>Alta complejidad</w:t>
            </w:r>
          </w:p>
        </w:tc>
        <w:tc>
          <w:tcPr>
            <w:tcW w:type="dxa" w:w="2700"/>
            <w:vAlign w:val="center"/>
            <w:tcMar>
              <w:top w:w="90" w:type="dxa"/>
              <w:start w:w="120" w:type="dxa"/>
              <w:bottom w:w="90" w:type="dxa"/>
              <w:end w:w="120" w:type="dxa"/>
            </w:tcMar>
            <w:shd w:fill="F3F6F7"/>
          </w:tcPr>
          <w:p>
            <w:pPr>
              <w:spacing w:after="0" w:line="252" w:lineRule="auto"/>
            </w:pPr>
            <w:r>
              <w:rPr>
                <w:rFonts w:ascii="Aptos" w:hAnsi="Aptos"/>
                <w:color w:val="18232B"/>
                <w:sz w:val="18"/>
              </w:rPr>
              <w:t>Más de 3.000 participantes, múltiples accesos o sedes</w:t>
            </w:r>
          </w:p>
        </w:tc>
        <w:tc>
          <w:tcPr>
            <w:tcW w:type="dxa" w:w="2400"/>
            <w:vAlign w:val="center"/>
            <w:tcMar>
              <w:top w:w="90" w:type="dxa"/>
              <w:start w:w="120" w:type="dxa"/>
              <w:bottom w:w="90" w:type="dxa"/>
              <w:end w:w="120" w:type="dxa"/>
            </w:tcMar>
            <w:shd w:fill="F3F6F7"/>
          </w:tcPr>
          <w:p>
            <w:pPr>
              <w:spacing w:after="0" w:line="252" w:lineRule="auto"/>
            </w:pPr>
            <w:r>
              <w:rPr>
                <w:rFonts w:ascii="Aptos" w:hAnsi="Aptos"/>
                <w:color w:val="18232B"/>
                <w:sz w:val="18"/>
              </w:rPr>
              <w:t>Desde USD 3.500</w:t>
            </w:r>
          </w:p>
        </w:tc>
        <w:tc>
          <w:tcPr>
            <w:tcW w:type="dxa" w:w="2560"/>
            <w:vAlign w:val="center"/>
            <w:tcMar>
              <w:top w:w="90" w:type="dxa"/>
              <w:start w:w="120" w:type="dxa"/>
              <w:bottom w:w="90" w:type="dxa"/>
              <w:end w:w="120" w:type="dxa"/>
            </w:tcMar>
            <w:shd w:fill="F3F6F7"/>
          </w:tcPr>
          <w:p>
            <w:pPr>
              <w:spacing w:after="0" w:line="252" w:lineRule="auto"/>
            </w:pPr>
            <w:r>
              <w:rPr>
                <w:rFonts w:ascii="Aptos" w:hAnsi="Aptos"/>
                <w:color w:val="18232B"/>
                <w:sz w:val="18"/>
              </w:rPr>
              <w:t>Cotización técnica</w:t>
            </w:r>
          </w:p>
        </w:tc>
      </w:tr>
    </w:tbl>
    <w:p>
      <w:pPr>
        <w:spacing w:after="0"/>
      </w:pPr>
    </w:p>
    <w:p>
      <w:r>
        <w:rPr>
          <w:rFonts w:ascii="Aptos" w:hAnsi="Aptos"/>
          <w:color w:val="18232B"/>
          <w:sz w:val="21"/>
        </w:rPr>
        <w:t>Estos importes son una herramienta de estimación, no una cotización definitiva.</w:t>
      </w:r>
    </w:p>
    <w:p>
      <w:pPr>
        <w:pStyle w:val="Heading1"/>
      </w:pPr>
      <w:r>
        <w:t>6. Cálculo rápido</w:t>
      </w:r>
    </w:p>
    <w:p>
      <w:r>
        <w:rPr>
          <w:rFonts w:ascii="Aptos" w:hAnsi="Aptos"/>
          <w:color w:val="18232B"/>
          <w:sz w:val="21"/>
        </w:rPr>
        <w:t>Usar esta fórmula después de la reunión: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shd w:fill="F3F6F7"/>
            <w:tcMar>
              <w:top w:w="150" w:type="dxa"/>
              <w:start w:w="180" w:type="dxa"/>
              <w:bottom w:w="150" w:type="dxa"/>
              <w:end w:w="180" w:type="dxa"/>
            </w:tcMar>
          </w:tcPr>
          <w:p>
            <w:pPr>
              <w:spacing w:after="0"/>
            </w:pPr>
            <w:r>
              <w:rPr>
                <w:rFonts w:ascii="Consolas" w:hAnsi="Consolas"/>
                <w:color w:val="123047"/>
                <w:sz w:val="18"/>
              </w:rPr>
              <w:t>Precio estimado = licencia base</w:t>
              <w:br/>
              <w:t xml:space="preserve">                + bloques adicionales de participantes</w:t>
              <w:br/>
              <w:t xml:space="preserve">                + bloques adicionales de stands</w:t>
              <w:br/>
              <w:t xml:space="preserve">                + puntos adicionales</w:t>
              <w:br/>
              <w:t xml:space="preserve">                + capacitación adicional</w:t>
              <w:br/>
              <w:t xml:space="preserve">                + soporte presencial</w:t>
              <w:br/>
              <w:t xml:space="preserve">                + alquiler/compra de equipos</w:t>
              <w:br/>
              <w:t xml:space="preserve">                + consumibles</w:t>
              <w:br/>
              <w:t xml:space="preserve">                + desarrollos aprobados</w:t>
            </w:r>
          </w:p>
        </w:tc>
      </w:tr>
    </w:tbl>
    <w:p>
      <w:pPr>
        <w:spacing w:after="0"/>
      </w:pPr>
    </w:p>
    <w:p>
      <w:r>
        <w:rPr>
          <w:rFonts w:ascii="Aptos" w:hAnsi="Aptos"/>
          <w:color w:val="18232B"/>
          <w:sz w:val="21"/>
        </w:rPr>
        <w:t>Ejemplo: evento con 2.000 participantes, 100 stands y 5 puntos: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shd w:fill="F3F6F7"/>
            <w:tcMar>
              <w:top w:w="150" w:type="dxa"/>
              <w:start w:w="180" w:type="dxa"/>
              <w:bottom w:w="150" w:type="dxa"/>
              <w:end w:w="180" w:type="dxa"/>
            </w:tcMar>
          </w:tcPr>
          <w:p>
            <w:pPr>
              <w:spacing w:after="0"/>
            </w:pPr>
            <w:r>
              <w:rPr>
                <w:rFonts w:ascii="Consolas" w:hAnsi="Consolas"/>
                <w:color w:val="123047"/>
                <w:sz w:val="18"/>
              </w:rPr>
              <w:t>Licencia recomendada (hasta 1.500 / 75 stands / 3 puntos)  USD 1.500</w:t>
              <w:br/>
              <w:t>500 participantes adicionales                                  100</w:t>
              <w:br/>
              <w:t>25 stands adicionales                                          125</w:t>
              <w:br/>
              <w:t>2 puntos adicionales                                            150</w:t>
              <w:br/>
              <w:t>Subtotal software y configuración                         USD 1.875</w:t>
              <w:br/>
              <w:t>Equipos, consumibles y personal                           Por definir</w:t>
            </w:r>
          </w:p>
        </w:tc>
      </w:tr>
    </w:tbl>
    <w:p>
      <w:pPr>
        <w:spacing w:after="0"/>
      </w:pPr>
    </w:p>
    <w:p>
      <w:pPr>
        <w:pStyle w:val="Heading1"/>
      </w:pPr>
      <w:r>
        <w:t>7. Relación con los ingresos por stands</w:t>
      </w:r>
    </w:p>
    <w:p>
      <w:r>
        <w:rPr>
          <w:rFonts w:ascii="Aptos" w:hAnsi="Aptos"/>
          <w:color w:val="18232B"/>
          <w:sz w:val="21"/>
        </w:rPr>
        <w:t>Antes de cerrar el precio se debe preguntar cuánto cuesta un stand estándar y cuántos esperan vender. Esto permite validar que el sistema sea proporcional al negocio del evento.</w:t>
      </w:r>
    </w:p>
    <w:p>
      <w:r>
        <w:rPr>
          <w:rFonts w:ascii="Aptos" w:hAnsi="Aptos"/>
          <w:color w:val="18232B"/>
          <w:sz w:val="21"/>
        </w:rPr>
        <w:t>Indicadores internos: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shd w:fill="F3F6F7"/>
            <w:tcMar>
              <w:top w:w="150" w:type="dxa"/>
              <w:start w:w="180" w:type="dxa"/>
              <w:bottom w:w="150" w:type="dxa"/>
              <w:end w:w="180" w:type="dxa"/>
            </w:tcMar>
          </w:tcPr>
          <w:p>
            <w:pPr>
              <w:spacing w:after="0"/>
            </w:pPr>
            <w:r>
              <w:rPr>
                <w:rFonts w:ascii="Consolas" w:hAnsi="Consolas"/>
                <w:color w:val="123047"/>
                <w:sz w:val="18"/>
              </w:rPr>
              <w:t>Ingreso estimado por stands = stands vendidos × precio promedio del stand</w:t>
              <w:br/>
              <w:t>Peso de EventPass = precio EventPass / ingreso estimado por stands</w:t>
              <w:br/>
              <w:t>Stands necesarios para cubrir EventPass = precio EventPass / precio promedio del stand</w:t>
            </w:r>
          </w:p>
        </w:tc>
      </w:tr>
    </w:tbl>
    <w:p>
      <w:pPr>
        <w:spacing w:after="0"/>
      </w:pPr>
    </w:p>
    <w:p>
      <w:r>
        <w:rPr>
          <w:rFonts w:ascii="Aptos" w:hAnsi="Aptos"/>
          <w:color w:val="18232B"/>
          <w:sz w:val="21"/>
        </w:rPr>
        <w:t>Para la primera negociación se puede explicar que la inversión debería poder cubrirse con una fracción pequeña de la venta de stands. No se debe prometer incremento de ventas ni ROI hasta disponer de datos reales del cliente.</w:t>
      </w:r>
    </w:p>
    <w:p>
      <w:r>
        <w:rPr>
          <w:rFonts w:ascii="Aptos" w:hAnsi="Aptos"/>
          <w:color w:val="18232B"/>
          <w:sz w:val="21"/>
        </w:rPr>
        <w:t>Ejemplos ilustrativos:</w:t>
      </w:r>
    </w:p>
    <w:tbl>
      <w:tblPr>
        <w:tblStyle w:val="TableGrid"/>
        <w:tblW w:type="dxa" w:w="9360"/>
        <w:jc w:val="left"/>
        <w:tblLayout w:type="fixed"/>
        <w:tblLook w:firstColumn="1" w:firstRow="1" w:lastColumn="0" w:lastRow="0" w:noHBand="0" w:noVBand="1" w:val="04A0"/>
        <w:tblInd w:w="120" w:type="dxa"/>
      </w:tblPr>
      <w:tblGrid>
        <w:gridCol w:w="1700"/>
        <w:gridCol w:w="2700"/>
        <w:gridCol w:w="2400"/>
        <w:gridCol w:w="2560"/>
      </w:tblGrid>
      <w:tr>
        <w:trPr>
          <w:cantSplit/>
          <w:tblHeader w:val="true"/>
        </w:trPr>
        <w:tc>
          <w:tcPr>
            <w:tcW w:type="dxa" w:w="1700"/>
            <w:vAlign w:val="center"/>
            <w:tcMar>
              <w:top w:w="90" w:type="dxa"/>
              <w:start w:w="120" w:type="dxa"/>
              <w:bottom w:w="90" w:type="dxa"/>
              <w:end w:w="120" w:type="dxa"/>
            </w:tcMar>
            <w:shd w:fill="123047"/>
          </w:tcPr>
          <w:p>
            <w:pPr>
              <w:spacing w:after="0" w:line="252" w:lineRule="auto"/>
            </w:pPr>
            <w:r>
              <w:rPr>
                <w:rFonts w:ascii="Aptos" w:hAnsi="Aptos"/>
                <w:b/>
                <w:color w:val="FFFFFF"/>
                <w:sz w:val="18"/>
              </w:rPr>
              <w:t>Stands vendidos</w:t>
            </w:r>
          </w:p>
        </w:tc>
        <w:tc>
          <w:tcPr>
            <w:tcW w:type="dxa" w:w="2700"/>
            <w:vAlign w:val="center"/>
            <w:tcMar>
              <w:top w:w="90" w:type="dxa"/>
              <w:start w:w="120" w:type="dxa"/>
              <w:bottom w:w="90" w:type="dxa"/>
              <w:end w:w="120" w:type="dxa"/>
            </w:tcMar>
            <w:shd w:fill="123047"/>
          </w:tcPr>
          <w:p>
            <w:pPr>
              <w:spacing w:after="0" w:line="252" w:lineRule="auto"/>
            </w:pPr>
            <w:r>
              <w:rPr>
                <w:rFonts w:ascii="Aptos" w:hAnsi="Aptos"/>
                <w:b/>
                <w:color w:val="FFFFFF"/>
                <w:sz w:val="18"/>
              </w:rPr>
              <w:t>Precio promedio</w:t>
            </w:r>
          </w:p>
        </w:tc>
        <w:tc>
          <w:tcPr>
            <w:tcW w:type="dxa" w:w="2400"/>
            <w:vAlign w:val="center"/>
            <w:tcMar>
              <w:top w:w="90" w:type="dxa"/>
              <w:start w:w="120" w:type="dxa"/>
              <w:bottom w:w="90" w:type="dxa"/>
              <w:end w:w="120" w:type="dxa"/>
            </w:tcMar>
            <w:shd w:fill="123047"/>
          </w:tcPr>
          <w:p>
            <w:pPr>
              <w:spacing w:after="0" w:line="252" w:lineRule="auto"/>
            </w:pPr>
            <w:r>
              <w:rPr>
                <w:rFonts w:ascii="Aptos" w:hAnsi="Aptos"/>
                <w:b/>
                <w:color w:val="FFFFFF"/>
                <w:sz w:val="18"/>
              </w:rPr>
              <w:t>Ingreso estimado</w:t>
            </w:r>
          </w:p>
        </w:tc>
        <w:tc>
          <w:tcPr>
            <w:tcW w:type="dxa" w:w="2560"/>
            <w:vAlign w:val="center"/>
            <w:tcMar>
              <w:top w:w="90" w:type="dxa"/>
              <w:start w:w="120" w:type="dxa"/>
              <w:bottom w:w="90" w:type="dxa"/>
              <w:end w:w="120" w:type="dxa"/>
            </w:tcMar>
            <w:shd w:fill="123047"/>
          </w:tcPr>
          <w:p>
            <w:pPr>
              <w:spacing w:after="0" w:line="252" w:lineRule="auto"/>
            </w:pPr>
            <w:r>
              <w:rPr>
                <w:rFonts w:ascii="Aptos" w:hAnsi="Aptos"/>
                <w:b/>
                <w:color w:val="FFFFFF"/>
                <w:sz w:val="18"/>
              </w:rPr>
              <w:t>EventPass USD 1.500 representa</w:t>
            </w:r>
          </w:p>
        </w:tc>
      </w:tr>
      <w:tr>
        <w:trPr>
          <w:cantSplit/>
        </w:trPr>
        <w:tc>
          <w:tcPr>
            <w:tcW w:type="dxa" w:w="1700"/>
            <w:vAlign w:val="center"/>
            <w:tcMar>
              <w:top w:w="90" w:type="dxa"/>
              <w:start w:w="120" w:type="dxa"/>
              <w:bottom w:w="90" w:type="dxa"/>
              <w:end w:w="120" w:type="dxa"/>
            </w:tcMar>
          </w:tcPr>
          <w:p>
            <w:pPr>
              <w:spacing w:after="0" w:line="252" w:lineRule="auto"/>
            </w:pPr>
            <w:r>
              <w:rPr>
                <w:rFonts w:ascii="Aptos" w:hAnsi="Aptos"/>
                <w:color w:val="18232B"/>
                <w:sz w:val="18"/>
              </w:rPr>
              <w:t>30</w:t>
            </w:r>
          </w:p>
        </w:tc>
        <w:tc>
          <w:tcPr>
            <w:tcW w:type="dxa" w:w="2700"/>
            <w:vAlign w:val="center"/>
            <w:tcMar>
              <w:top w:w="90" w:type="dxa"/>
              <w:start w:w="120" w:type="dxa"/>
              <w:bottom w:w="90" w:type="dxa"/>
              <w:end w:w="120" w:type="dxa"/>
            </w:tcMar>
          </w:tcPr>
          <w:p>
            <w:pPr>
              <w:spacing w:after="0" w:line="252" w:lineRule="auto"/>
            </w:pPr>
            <w:r>
              <w:rPr>
                <w:rFonts w:ascii="Aptos" w:hAnsi="Aptos"/>
                <w:color w:val="18232B"/>
                <w:sz w:val="18"/>
              </w:rPr>
              <w:t>USD 500</w:t>
            </w:r>
          </w:p>
        </w:tc>
        <w:tc>
          <w:tcPr>
            <w:tcW w:type="dxa" w:w="2400"/>
            <w:vAlign w:val="center"/>
            <w:tcMar>
              <w:top w:w="90" w:type="dxa"/>
              <w:start w:w="120" w:type="dxa"/>
              <w:bottom w:w="90" w:type="dxa"/>
              <w:end w:w="120" w:type="dxa"/>
            </w:tcMar>
          </w:tcPr>
          <w:p>
            <w:pPr>
              <w:spacing w:after="0" w:line="252" w:lineRule="auto"/>
            </w:pPr>
            <w:r>
              <w:rPr>
                <w:rFonts w:ascii="Aptos" w:hAnsi="Aptos"/>
                <w:color w:val="18232B"/>
                <w:sz w:val="18"/>
              </w:rPr>
              <w:t>USD 15.000</w:t>
            </w:r>
          </w:p>
        </w:tc>
        <w:tc>
          <w:tcPr>
            <w:tcW w:type="dxa" w:w="2560"/>
            <w:vAlign w:val="center"/>
            <w:tcMar>
              <w:top w:w="90" w:type="dxa"/>
              <w:start w:w="120" w:type="dxa"/>
              <w:bottom w:w="90" w:type="dxa"/>
              <w:end w:w="120" w:type="dxa"/>
            </w:tcMar>
          </w:tcPr>
          <w:p>
            <w:pPr>
              <w:spacing w:after="0" w:line="252" w:lineRule="auto"/>
            </w:pPr>
            <w:r>
              <w:rPr>
                <w:rFonts w:ascii="Aptos" w:hAnsi="Aptos"/>
                <w:color w:val="18232B"/>
                <w:sz w:val="18"/>
              </w:rPr>
              <w:t>10 %</w:t>
            </w:r>
          </w:p>
        </w:tc>
      </w:tr>
      <w:tr>
        <w:trPr>
          <w:cantSplit/>
        </w:trPr>
        <w:tc>
          <w:tcPr>
            <w:tcW w:type="dxa" w:w="1700"/>
            <w:vAlign w:val="center"/>
            <w:tcMar>
              <w:top w:w="90" w:type="dxa"/>
              <w:start w:w="120" w:type="dxa"/>
              <w:bottom w:w="90" w:type="dxa"/>
              <w:end w:w="120" w:type="dxa"/>
            </w:tcMar>
            <w:shd w:fill="F3F6F7"/>
          </w:tcPr>
          <w:p>
            <w:pPr>
              <w:spacing w:after="0" w:line="252" w:lineRule="auto"/>
            </w:pPr>
            <w:r>
              <w:rPr>
                <w:rFonts w:ascii="Aptos" w:hAnsi="Aptos"/>
                <w:color w:val="18232B"/>
                <w:sz w:val="18"/>
              </w:rPr>
              <w:t>60</w:t>
            </w:r>
          </w:p>
        </w:tc>
        <w:tc>
          <w:tcPr>
            <w:tcW w:type="dxa" w:w="2700"/>
            <w:vAlign w:val="center"/>
            <w:tcMar>
              <w:top w:w="90" w:type="dxa"/>
              <w:start w:w="120" w:type="dxa"/>
              <w:bottom w:w="90" w:type="dxa"/>
              <w:end w:w="120" w:type="dxa"/>
            </w:tcMar>
            <w:shd w:fill="F3F6F7"/>
          </w:tcPr>
          <w:p>
            <w:pPr>
              <w:spacing w:after="0" w:line="252" w:lineRule="auto"/>
            </w:pPr>
            <w:r>
              <w:rPr>
                <w:rFonts w:ascii="Aptos" w:hAnsi="Aptos"/>
                <w:color w:val="18232B"/>
                <w:sz w:val="18"/>
              </w:rPr>
              <w:t>USD 750</w:t>
            </w:r>
          </w:p>
        </w:tc>
        <w:tc>
          <w:tcPr>
            <w:tcW w:type="dxa" w:w="2400"/>
            <w:vAlign w:val="center"/>
            <w:tcMar>
              <w:top w:w="90" w:type="dxa"/>
              <w:start w:w="120" w:type="dxa"/>
              <w:bottom w:w="90" w:type="dxa"/>
              <w:end w:w="120" w:type="dxa"/>
            </w:tcMar>
            <w:shd w:fill="F3F6F7"/>
          </w:tcPr>
          <w:p>
            <w:pPr>
              <w:spacing w:after="0" w:line="252" w:lineRule="auto"/>
            </w:pPr>
            <w:r>
              <w:rPr>
                <w:rFonts w:ascii="Aptos" w:hAnsi="Aptos"/>
                <w:color w:val="18232B"/>
                <w:sz w:val="18"/>
              </w:rPr>
              <w:t>USD 45.000</w:t>
            </w:r>
          </w:p>
        </w:tc>
        <w:tc>
          <w:tcPr>
            <w:tcW w:type="dxa" w:w="2560"/>
            <w:vAlign w:val="center"/>
            <w:tcMar>
              <w:top w:w="90" w:type="dxa"/>
              <w:start w:w="120" w:type="dxa"/>
              <w:bottom w:w="90" w:type="dxa"/>
              <w:end w:w="120" w:type="dxa"/>
            </w:tcMar>
            <w:shd w:fill="F3F6F7"/>
          </w:tcPr>
          <w:p>
            <w:pPr>
              <w:spacing w:after="0" w:line="252" w:lineRule="auto"/>
            </w:pPr>
            <w:r>
              <w:rPr>
                <w:rFonts w:ascii="Aptos" w:hAnsi="Aptos"/>
                <w:color w:val="18232B"/>
                <w:sz w:val="18"/>
              </w:rPr>
              <w:t>3,3 %</w:t>
            </w:r>
          </w:p>
        </w:tc>
      </w:tr>
      <w:tr>
        <w:trPr>
          <w:cantSplit/>
        </w:trPr>
        <w:tc>
          <w:tcPr>
            <w:tcW w:type="dxa" w:w="1700"/>
            <w:vAlign w:val="center"/>
            <w:tcMar>
              <w:top w:w="90" w:type="dxa"/>
              <w:start w:w="120" w:type="dxa"/>
              <w:bottom w:w="90" w:type="dxa"/>
              <w:end w:w="120" w:type="dxa"/>
            </w:tcMar>
          </w:tcPr>
          <w:p>
            <w:pPr>
              <w:spacing w:after="0" w:line="252" w:lineRule="auto"/>
            </w:pPr>
            <w:r>
              <w:rPr>
                <w:rFonts w:ascii="Aptos" w:hAnsi="Aptos"/>
                <w:color w:val="18232B"/>
                <w:sz w:val="18"/>
              </w:rPr>
              <w:t>100</w:t>
            </w:r>
          </w:p>
        </w:tc>
        <w:tc>
          <w:tcPr>
            <w:tcW w:type="dxa" w:w="2700"/>
            <w:vAlign w:val="center"/>
            <w:tcMar>
              <w:top w:w="90" w:type="dxa"/>
              <w:start w:w="120" w:type="dxa"/>
              <w:bottom w:w="90" w:type="dxa"/>
              <w:end w:w="120" w:type="dxa"/>
            </w:tcMar>
          </w:tcPr>
          <w:p>
            <w:pPr>
              <w:spacing w:after="0" w:line="252" w:lineRule="auto"/>
            </w:pPr>
            <w:r>
              <w:rPr>
                <w:rFonts w:ascii="Aptos" w:hAnsi="Aptos"/>
                <w:color w:val="18232B"/>
                <w:sz w:val="18"/>
              </w:rPr>
              <w:t>USD 1.000</w:t>
            </w:r>
          </w:p>
        </w:tc>
        <w:tc>
          <w:tcPr>
            <w:tcW w:type="dxa" w:w="2400"/>
            <w:vAlign w:val="center"/>
            <w:tcMar>
              <w:top w:w="90" w:type="dxa"/>
              <w:start w:w="120" w:type="dxa"/>
              <w:bottom w:w="90" w:type="dxa"/>
              <w:end w:w="120" w:type="dxa"/>
            </w:tcMar>
          </w:tcPr>
          <w:p>
            <w:pPr>
              <w:spacing w:after="0" w:line="252" w:lineRule="auto"/>
            </w:pPr>
            <w:r>
              <w:rPr>
                <w:rFonts w:ascii="Aptos" w:hAnsi="Aptos"/>
                <w:color w:val="18232B"/>
                <w:sz w:val="18"/>
              </w:rPr>
              <w:t>USD 100.000</w:t>
            </w:r>
          </w:p>
        </w:tc>
        <w:tc>
          <w:tcPr>
            <w:tcW w:type="dxa" w:w="2560"/>
            <w:vAlign w:val="center"/>
            <w:tcMar>
              <w:top w:w="90" w:type="dxa"/>
              <w:start w:w="120" w:type="dxa"/>
              <w:bottom w:w="90" w:type="dxa"/>
              <w:end w:w="120" w:type="dxa"/>
            </w:tcMar>
          </w:tcPr>
          <w:p>
            <w:pPr>
              <w:spacing w:after="0" w:line="252" w:lineRule="auto"/>
            </w:pPr>
            <w:r>
              <w:rPr>
                <w:rFonts w:ascii="Aptos" w:hAnsi="Aptos"/>
                <w:color w:val="18232B"/>
                <w:sz w:val="18"/>
              </w:rPr>
              <w:t>1,5 %</w:t>
            </w:r>
          </w:p>
        </w:tc>
      </w:tr>
    </w:tbl>
    <w:p>
      <w:pPr>
        <w:spacing w:after="0"/>
      </w:pPr>
    </w:p>
    <w:p>
      <w:r>
        <w:br w:type="page"/>
      </w:r>
    </w:p>
    <w:p>
      <w:pPr>
        <w:pStyle w:val="Heading1"/>
      </w:pPr>
      <w:r>
        <w:t>8. Preguntas obligatorias para la reunión</w:t>
      </w:r>
    </w:p>
    <w:p>
      <w:pPr>
        <w:pStyle w:val="Heading2"/>
      </w:pPr>
      <w:r>
        <w:t>Evento</w:t>
      </w:r>
    </w:p>
    <w:p>
      <w:pPr>
        <w:pStyle w:val="ListBullet"/>
      </w:pPr>
      <w:r>
        <w:rPr>
          <w:rFonts w:ascii="Aptos" w:hAnsi="Aptos"/>
          <w:color w:val="18232B"/>
          <w:sz w:val="21"/>
        </w:rPr>
        <w:t>¿Cuántos días dura y en qué fechas se realizará?</w:t>
      </w:r>
    </w:p>
    <w:p>
      <w:pPr>
        <w:pStyle w:val="ListBullet"/>
      </w:pPr>
      <w:r>
        <w:rPr>
          <w:rFonts w:ascii="Aptos" w:hAnsi="Aptos"/>
          <w:color w:val="18232B"/>
          <w:sz w:val="21"/>
        </w:rPr>
        <w:t>¿Cuál es el aforo esperado y el máximo posible?</w:t>
      </w:r>
    </w:p>
    <w:p>
      <w:pPr>
        <w:pStyle w:val="ListBullet"/>
      </w:pPr>
      <w:r>
        <w:rPr>
          <w:rFonts w:ascii="Aptos" w:hAnsi="Aptos"/>
          <w:color w:val="18232B"/>
          <w:sz w:val="21"/>
        </w:rPr>
        <w:t>¿Cuántas personas esperan registrar y acreditar por día?</w:t>
      </w:r>
    </w:p>
    <w:p>
      <w:pPr>
        <w:pStyle w:val="ListBullet"/>
      </w:pPr>
      <w:r>
        <w:rPr>
          <w:rFonts w:ascii="Aptos" w:hAnsi="Aptos"/>
          <w:color w:val="18232B"/>
          <w:sz w:val="21"/>
        </w:rPr>
        <w:t>¿Habrá un único acceso o varios accesos simultáneos?</w:t>
      </w:r>
    </w:p>
    <w:p>
      <w:pPr>
        <w:pStyle w:val="ListBullet"/>
      </w:pPr>
      <w:r>
        <w:rPr>
          <w:rFonts w:ascii="Aptos" w:hAnsi="Aptos"/>
          <w:color w:val="18232B"/>
          <w:sz w:val="21"/>
        </w:rPr>
        <w:t>¿Existen foros o salas con control de entrada independiente?</w:t>
      </w:r>
    </w:p>
    <w:p>
      <w:pPr>
        <w:pStyle w:val="Heading2"/>
      </w:pPr>
      <w:r>
        <w:t>Exposición</w:t>
      </w:r>
    </w:p>
    <w:p>
      <w:pPr>
        <w:pStyle w:val="ListBullet"/>
      </w:pPr>
      <w:r>
        <w:rPr>
          <w:rFonts w:ascii="Aptos" w:hAnsi="Aptos"/>
          <w:color w:val="18232B"/>
          <w:sz w:val="21"/>
        </w:rPr>
        <w:t>¿Cuántos stands existen, cuántos esperan vender y cuál es su precio promedio?</w:t>
      </w:r>
    </w:p>
    <w:p>
      <w:pPr>
        <w:pStyle w:val="ListBullet"/>
      </w:pPr>
      <w:r>
        <w:rPr>
          <w:rFonts w:ascii="Aptos" w:hAnsi="Aptos"/>
          <w:color w:val="18232B"/>
          <w:sz w:val="21"/>
        </w:rPr>
        <w:t>¿Hay categorías o tamaños de stands diferentes?</w:t>
      </w:r>
    </w:p>
    <w:p>
      <w:pPr>
        <w:pStyle w:val="ListBullet"/>
      </w:pPr>
      <w:r>
        <w:rPr>
          <w:rFonts w:ascii="Aptos" w:hAnsi="Aptos"/>
          <w:color w:val="18232B"/>
          <w:sz w:val="21"/>
        </w:rPr>
        <w:t>¿Cuántas empresas expositoras y miembros de personal tendrá cada una?</w:t>
      </w:r>
    </w:p>
    <w:p>
      <w:pPr>
        <w:pStyle w:val="ListBullet"/>
      </w:pPr>
      <w:r>
        <w:rPr>
          <w:rFonts w:ascii="Aptos" w:hAnsi="Aptos"/>
          <w:color w:val="18232B"/>
          <w:sz w:val="21"/>
        </w:rPr>
        <w:t>¿Desean habilitar el escaneo de visitantes en todos los stands?</w:t>
      </w:r>
    </w:p>
    <w:p>
      <w:pPr>
        <w:pStyle w:val="Heading2"/>
      </w:pPr>
      <w:r>
        <w:t>Acreditación e impresión</w:t>
      </w:r>
    </w:p>
    <w:p>
      <w:pPr>
        <w:pStyle w:val="ListBullet"/>
      </w:pPr>
      <w:r>
        <w:rPr>
          <w:rFonts w:ascii="Aptos" w:hAnsi="Aptos"/>
          <w:color w:val="18232B"/>
          <w:sz w:val="21"/>
        </w:rPr>
        <w:t>¿Cuántos puntos de acreditación desean abrir en la hora de mayor llegada?</w:t>
      </w:r>
    </w:p>
    <w:p>
      <w:pPr>
        <w:pStyle w:val="ListBullet"/>
      </w:pPr>
      <w:r>
        <w:rPr>
          <w:rFonts w:ascii="Aptos" w:hAnsi="Aptos"/>
          <w:color w:val="18232B"/>
          <w:sz w:val="21"/>
        </w:rPr>
        <w:t>¿Imprimirán credenciales previamente, en sitio o mediante un modelo mixto?</w:t>
      </w:r>
    </w:p>
    <w:p>
      <w:pPr>
        <w:pStyle w:val="ListBullet"/>
      </w:pPr>
      <w:r>
        <w:rPr>
          <w:rFonts w:ascii="Aptos" w:hAnsi="Aptos"/>
          <w:color w:val="18232B"/>
          <w:sz w:val="21"/>
        </w:rPr>
        <w:t>¿Qué formato y material tendrá la credencial?</w:t>
      </w:r>
    </w:p>
    <w:p>
      <w:pPr>
        <w:pStyle w:val="ListBullet"/>
      </w:pPr>
      <w:r>
        <w:rPr>
          <w:rFonts w:ascii="Aptos" w:hAnsi="Aptos"/>
          <w:color w:val="18232B"/>
          <w:sz w:val="21"/>
        </w:rPr>
        <w:t>¿Ya poseen impresoras? Solicitar marca, modelo, conexión y fotografías de etiquetas/consumibles.</w:t>
      </w:r>
    </w:p>
    <w:p>
      <w:pPr>
        <w:pStyle w:val="ListBullet"/>
      </w:pPr>
      <w:r>
        <w:rPr>
          <w:rFonts w:ascii="Aptos" w:hAnsi="Aptos"/>
          <w:color w:val="18232B"/>
          <w:sz w:val="21"/>
        </w:rPr>
        <w:t>¿Cuántas computadoras, tabletas, teléfonos y lectores tienen disponibles?</w:t>
      </w:r>
    </w:p>
    <w:p>
      <w:pPr>
        <w:pStyle w:val="ListBullet"/>
      </w:pPr>
      <w:r>
        <w:rPr>
          <w:rFonts w:ascii="Aptos" w:hAnsi="Aptos"/>
          <w:color w:val="18232B"/>
          <w:sz w:val="21"/>
        </w:rPr>
        <w:t>¿Quién suministra Internet, respaldo eléctrico y red local?</w:t>
      </w:r>
    </w:p>
    <w:p>
      <w:pPr>
        <w:pStyle w:val="Heading2"/>
      </w:pPr>
      <w:r>
        <w:t>Personal y soporte</w:t>
      </w:r>
    </w:p>
    <w:p>
      <w:pPr>
        <w:pStyle w:val="ListBullet"/>
      </w:pPr>
      <w:r>
        <w:rPr>
          <w:rFonts w:ascii="Aptos" w:hAnsi="Aptos"/>
          <w:color w:val="18232B"/>
          <w:sz w:val="21"/>
        </w:rPr>
        <w:t>¿Cuántos administradores configurarán el evento?</w:t>
      </w:r>
    </w:p>
    <w:p>
      <w:pPr>
        <w:pStyle w:val="ListBullet"/>
      </w:pPr>
      <w:r>
        <w:rPr>
          <w:rFonts w:ascii="Aptos" w:hAnsi="Aptos"/>
          <w:color w:val="18232B"/>
          <w:sz w:val="21"/>
        </w:rPr>
        <w:t>¿Cuántos operadores trabajarán en registro, acreditación y accesos?</w:t>
      </w:r>
    </w:p>
    <w:p>
      <w:pPr>
        <w:pStyle w:val="ListBullet"/>
      </w:pPr>
      <w:r>
        <w:rPr>
          <w:rFonts w:ascii="Aptos" w:hAnsi="Aptos"/>
          <w:color w:val="18232B"/>
          <w:sz w:val="21"/>
        </w:rPr>
        <w:t>¿Quién será el responsable único del proyecto por parte de la asociación?</w:t>
      </w:r>
    </w:p>
    <w:p>
      <w:pPr>
        <w:pStyle w:val="ListBullet"/>
      </w:pPr>
      <w:r>
        <w:rPr>
          <w:rFonts w:ascii="Aptos" w:hAnsi="Aptos"/>
          <w:color w:val="18232B"/>
          <w:sz w:val="21"/>
        </w:rPr>
        <w:t>¿Esperan que EventPass suministre operadores o únicamente tecnología y soporte?</w:t>
      </w:r>
    </w:p>
    <w:p>
      <w:pPr>
        <w:pStyle w:val="ListBullet"/>
      </w:pPr>
      <w:r>
        <w:rPr>
          <w:rFonts w:ascii="Aptos" w:hAnsi="Aptos"/>
          <w:color w:val="18232B"/>
          <w:sz w:val="21"/>
        </w:rPr>
        <w:t>¿Necesitan presencia física durante montaje y evento?</w:t>
      </w:r>
    </w:p>
    <w:p>
      <w:pPr>
        <w:pStyle w:val="Heading1"/>
      </w:pPr>
      <w:r>
        <w:t>9. Condiciones comerciales recomendadas</w:t>
      </w:r>
    </w:p>
    <w:p>
      <w:pPr>
        <w:pStyle w:val="ListBullet"/>
      </w:pPr>
      <w:r>
        <w:rPr>
          <w:rFonts w:ascii="Aptos" w:hAnsi="Aptos"/>
          <w:color w:val="18232B"/>
          <w:sz w:val="21"/>
        </w:rPr>
        <w:t>Moneda de referencia: USD.</w:t>
      </w:r>
    </w:p>
    <w:p>
      <w:pPr>
        <w:pStyle w:val="ListBullet"/>
      </w:pPr>
      <w:r>
        <w:rPr>
          <w:rFonts w:ascii="Aptos" w:hAnsi="Aptos"/>
          <w:color w:val="18232B"/>
          <w:sz w:val="21"/>
        </w:rPr>
        <w:t>Pago: 50 % con la aceptación y 50 % antes de abrir el registro público o, como máximo, siete días antes del evento.</w:t>
      </w:r>
    </w:p>
    <w:p>
      <w:pPr>
        <w:pStyle w:val="ListBullet"/>
      </w:pPr>
      <w:r>
        <w:rPr>
          <w:rFonts w:ascii="Aptos" w:hAnsi="Aptos"/>
          <w:color w:val="18232B"/>
          <w:sz w:val="21"/>
        </w:rPr>
        <w:t>Vigencia de la oferta: 15 días.</w:t>
      </w:r>
    </w:p>
    <w:p>
      <w:pPr>
        <w:pStyle w:val="ListBullet"/>
      </w:pPr>
      <w:r>
        <w:rPr>
          <w:rFonts w:ascii="Aptos" w:hAnsi="Aptos"/>
          <w:color w:val="18232B"/>
          <w:sz w:val="21"/>
        </w:rPr>
        <w:t>La reserva de fechas de soporte presencial sólo ocurre con el primer pago.</w:t>
      </w:r>
    </w:p>
    <w:p>
      <w:pPr>
        <w:pStyle w:val="ListBullet"/>
      </w:pPr>
      <w:r>
        <w:rPr>
          <w:rFonts w:ascii="Aptos" w:hAnsi="Aptos"/>
          <w:color w:val="18232B"/>
          <w:sz w:val="21"/>
        </w:rPr>
        <w:t>Equipos, consumibles, viajes y viáticos se pagan por adelantado.</w:t>
      </w:r>
    </w:p>
    <w:p>
      <w:pPr>
        <w:pStyle w:val="ListBullet"/>
      </w:pPr>
      <w:r>
        <w:rPr>
          <w:rFonts w:ascii="Aptos" w:hAnsi="Aptos"/>
          <w:color w:val="18232B"/>
          <w:sz w:val="21"/>
        </w:rPr>
        <w:t>Nuevos requerimientos se estiman y aprueban por escrito antes de desarrollarse.</w:t>
      </w:r>
    </w:p>
    <w:p>
      <w:pPr>
        <w:pStyle w:val="ListBullet"/>
      </w:pPr>
      <w:r>
        <w:rPr>
          <w:rFonts w:ascii="Aptos" w:hAnsi="Aptos"/>
          <w:color w:val="18232B"/>
          <w:sz w:val="21"/>
        </w:rPr>
        <w:t>La asociación es responsable de la exactitud y legitimidad de los datos cargados.</w:t>
      </w:r>
    </w:p>
    <w:p>
      <w:pPr>
        <w:pStyle w:val="ListBullet"/>
      </w:pPr>
      <w:r>
        <w:rPr>
          <w:rFonts w:ascii="Aptos" w:hAnsi="Aptos"/>
          <w:color w:val="18232B"/>
          <w:sz w:val="21"/>
        </w:rPr>
        <w:t>El alcance debe indicar fechas de congelamiento del diseño de credencial, plano, formulario e importaciones.</w:t>
      </w:r>
    </w:p>
    <w:p>
      <w:pPr>
        <w:pStyle w:val="ListBullet"/>
      </w:pPr>
      <w:r>
        <w:rPr>
          <w:rFonts w:ascii="Aptos" w:hAnsi="Aptos"/>
          <w:color w:val="18232B"/>
          <w:sz w:val="21"/>
        </w:rPr>
        <w:t>Incluir una ventana acordada de soporte y tiempos de respuesta; evitar prometer disponibilidad ilimitada 24/7.</w:t>
      </w:r>
    </w:p>
    <w:p>
      <w:pPr>
        <w:pStyle w:val="ListBullet"/>
      </w:pPr>
      <w:r>
        <w:rPr>
          <w:rFonts w:ascii="Aptos" w:hAnsi="Aptos"/>
          <w:color w:val="18232B"/>
          <w:sz w:val="21"/>
        </w:rPr>
        <w:t>Renovación sugerida para otra edición equivalente: 70–80 % del precio de lista, recalculando capacidad, soporte y equipos.</w:t>
      </w:r>
    </w:p>
    <w:p>
      <w:pPr>
        <w:pStyle w:val="Heading1"/>
      </w:pPr>
      <w:r>
        <w:t>10. Mensaje comercial sugerido</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shd w:fill="FFF6D8"/>
            <w:tcMar>
              <w:top w:w="160" w:type="dxa"/>
              <w:start w:w="200" w:type="dxa"/>
              <w:bottom w:w="160" w:type="dxa"/>
              <w:end w:w="200" w:type="dxa"/>
            </w:tcMar>
          </w:tcPr>
          <w:p>
            <w:pPr>
              <w:spacing w:after="0"/>
            </w:pPr>
            <w:r>
              <w:rPr>
                <w:rFonts w:ascii="Aptos" w:hAnsi="Aptos"/>
                <w:i/>
                <w:color w:val="123047"/>
                <w:sz w:val="22"/>
              </w:rPr>
              <w:t>Como la entrada del evento es gratuita, no les proponemos cobrar por participante. La inversión se plantea por la operación completa del evento: registro, acreditación, credenciales QR, agenda, planos, expositores, stands y captación de visitantes. Para esta primera edición proponemos una tarifa fundadora de USD 1.200, sujeta a confirmar aforo, número de stands y puntos de impresión. Los equipos y el personal presencial se cotizan aparte para no cargarles costos que quizás ya tengan resueltos.</w:t>
            </w:r>
          </w:p>
        </w:tc>
      </w:tr>
    </w:tbl>
    <w:p>
      <w:pPr>
        <w:spacing w:after="0"/>
      </w:pPr>
    </w:p>
    <w:p>
      <w:pPr>
        <w:pStyle w:val="Heading1"/>
      </w:pPr>
      <w:r>
        <w:t>11. Límites y referencia de mercado</w:t>
      </w:r>
    </w:p>
    <w:p>
      <w:r>
        <w:rPr>
          <w:rFonts w:ascii="Aptos" w:hAnsi="Aptos"/>
          <w:color w:val="18232B"/>
          <w:sz w:val="21"/>
        </w:rPr>
        <w:t>Las plataformas generalistas pueden ofrecer publicación, RSVP y check-in básicos sin costo para eventos gratuitos. Eventbrite, por ejemplo, declara que no cobra tarifas por tickets gratuitos. Por eso EventPass no debe competir sólo por el formulario de registro; debe vender su operación local, acreditación, planos, expositores, stands, portal y captación de visitantes.</w:t>
      </w:r>
    </w:p>
    <w:p>
      <w:r>
        <w:rPr>
          <w:rFonts w:ascii="Aptos" w:hAnsi="Aptos"/>
          <w:color w:val="18232B"/>
          <w:sz w:val="21"/>
        </w:rPr>
        <w:t>Zoho Backstage estructura su oferta por capacidad y reserva funciones avanzadas de expositores y lead scanning para planes o complementos superiores. Esto respalda separar el registro básico de la complejidad comercial y operativa.</w:t>
      </w:r>
    </w:p>
    <w:p>
      <w:r>
        <w:rPr>
          <w:rFonts w:ascii="Aptos" w:hAnsi="Aptos"/>
          <w:color w:val="18232B"/>
          <w:sz w:val="21"/>
        </w:rPr>
        <w:t>Fuentes consultadas:</w:t>
      </w:r>
    </w:p>
    <w:p>
      <w:pPr>
        <w:pStyle w:val="ListBullet"/>
      </w:pPr>
      <w:r>
        <w:rPr>
          <w:rFonts w:ascii="Aptos" w:hAnsi="Aptos"/>
          <w:color w:val="18232B"/>
          <w:sz w:val="21"/>
        </w:rPr>
        <w:t>Eventbrite, precios para organizadores: https://www.eventbrite.com/organizer/pricing/</w:t>
      </w:r>
    </w:p>
    <w:p>
      <w:pPr>
        <w:pStyle w:val="ListBullet"/>
      </w:pPr>
      <w:r>
        <w:rPr>
          <w:rFonts w:ascii="Aptos" w:hAnsi="Aptos"/>
          <w:color w:val="18232B"/>
          <w:sz w:val="21"/>
        </w:rPr>
        <w:t>Eventbrite, registro gratuito y RSVP: https://www.eventbrite.com/features/free-ticketing/</w:t>
      </w:r>
    </w:p>
    <w:p>
      <w:pPr>
        <w:pStyle w:val="ListBullet"/>
      </w:pPr>
      <w:r>
        <w:rPr>
          <w:rFonts w:ascii="Aptos" w:hAnsi="Aptos"/>
          <w:color w:val="18232B"/>
          <w:sz w:val="21"/>
        </w:rPr>
        <w:t>Zoho Backstage, planes y complementos: https://www.zoho.com/backstage/pricing.html</w:t>
      </w:r>
    </w:p>
    <w:p>
      <w:r>
        <w:br w:type="page"/>
      </w:r>
    </w:p>
    <w:p>
      <w:pPr>
        <w:pStyle w:val="Heading1"/>
      </w:pPr>
      <w:r>
        <w:t>12. Decisión pendiente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shd w:fill="E9F7F2"/>
            <w:tcMar>
              <w:top w:w="190" w:type="dxa"/>
              <w:start w:w="240" w:type="dxa"/>
              <w:bottom w:w="190" w:type="dxa"/>
              <w:end w:w="240" w:type="dxa"/>
            </w:tcMar>
          </w:tcPr>
          <w:p>
            <w:pPr>
              <w:spacing w:after="60"/>
            </w:pPr>
            <w:r>
              <w:rPr>
                <w:rFonts w:ascii="Aptos" w:hAnsi="Aptos"/>
                <w:b/>
                <w:color w:val="00866A"/>
                <w:sz w:val="18"/>
              </w:rPr>
              <w:t>DECISIÓN RECOMENDADA</w:t>
            </w:r>
          </w:p>
          <w:p>
            <w:pPr>
              <w:spacing w:after="60"/>
            </w:pPr>
            <w:r>
              <w:rPr>
                <w:rFonts w:ascii="Aptos" w:hAnsi="Aptos"/>
                <w:b/>
                <w:color w:val="123047"/>
                <w:sz w:val="46"/>
              </w:rPr>
              <w:t>USD 1.200</w:t>
            </w:r>
          </w:p>
          <w:p>
            <w:pPr>
              <w:spacing w:after="0"/>
            </w:pPr>
            <w:r>
              <w:rPr>
                <w:rFonts w:ascii="Aptos" w:hAnsi="Aptos"/>
                <w:color w:val="5F6B73"/>
                <w:sz w:val="20"/>
              </w:rPr>
              <w:t>Oferta fundadora bajo alcance controlado; completar dimensionamiento después de la reunión.</w:t>
            </w:r>
          </w:p>
        </w:tc>
      </w:tr>
    </w:tbl>
    <w:p>
      <w:pPr>
        <w:spacing w:after="0"/>
      </w:pPr>
    </w:p>
    <w:p>
      <w:r>
        <w:rPr>
          <w:rFonts w:ascii="Aptos" w:hAnsi="Aptos"/>
          <w:color w:val="18232B"/>
          <w:sz w:val="21"/>
        </w:rPr>
        <w:t xml:space="preserve">La cifra de </w:t>
      </w:r>
      <w:r>
        <w:rPr>
          <w:rFonts w:ascii="Aptos" w:hAnsi="Aptos"/>
          <w:b/>
          <w:color w:val="18232B"/>
          <w:sz w:val="21"/>
        </w:rPr>
        <w:t>USD 1.200</w:t>
      </w:r>
      <w:r>
        <w:rPr>
          <w:rFonts w:ascii="Aptos" w:hAnsi="Aptos"/>
          <w:color w:val="18232B"/>
          <w:sz w:val="21"/>
        </w:rPr>
        <w:t xml:space="preserve"> es la recomendación para abrir una relación con esta asociación bajo un alcance controlado. Después de la reunión se debe completar una ficha de dimensionamiento y emitir una cotización con:</w:t>
      </w:r>
    </w:p>
    <w:p>
      <w:pPr>
        <w:pStyle w:val="ListBullet"/>
      </w:pPr>
      <w:r>
        <w:rPr>
          <w:rFonts w:ascii="Aptos" w:hAnsi="Aptos"/>
          <w:color w:val="18232B"/>
          <w:sz w:val="21"/>
        </w:rPr>
        <w:t>volumen confirmado;</w:t>
      </w:r>
    </w:p>
    <w:p>
      <w:pPr>
        <w:pStyle w:val="ListBullet"/>
      </w:pPr>
      <w:r>
        <w:rPr>
          <w:rFonts w:ascii="Aptos" w:hAnsi="Aptos"/>
          <w:color w:val="18232B"/>
          <w:sz w:val="21"/>
        </w:rPr>
        <w:t>funciones incluidas;</w:t>
      </w:r>
    </w:p>
    <w:p>
      <w:pPr>
        <w:pStyle w:val="ListBullet"/>
      </w:pPr>
      <w:r>
        <w:rPr>
          <w:rFonts w:ascii="Aptos" w:hAnsi="Aptos"/>
          <w:color w:val="18232B"/>
          <w:sz w:val="21"/>
        </w:rPr>
        <w:t>número de usuarios y puntos;</w:t>
      </w:r>
    </w:p>
    <w:p>
      <w:pPr>
        <w:pStyle w:val="ListBullet"/>
      </w:pPr>
      <w:r>
        <w:rPr>
          <w:rFonts w:ascii="Aptos" w:hAnsi="Aptos"/>
          <w:color w:val="18232B"/>
          <w:sz w:val="21"/>
        </w:rPr>
        <w:t>matriz de responsabilidades;</w:t>
      </w:r>
    </w:p>
    <w:p>
      <w:pPr>
        <w:pStyle w:val="ListBullet"/>
      </w:pPr>
      <w:r>
        <w:rPr>
          <w:rFonts w:ascii="Aptos" w:hAnsi="Aptos"/>
          <w:color w:val="18232B"/>
          <w:sz w:val="21"/>
        </w:rPr>
        <w:t>equipos y consumibles;</w:t>
      </w:r>
    </w:p>
    <w:p>
      <w:pPr>
        <w:pStyle w:val="ListBullet"/>
      </w:pPr>
      <w:r>
        <w:rPr>
          <w:rFonts w:ascii="Aptos" w:hAnsi="Aptos"/>
          <w:color w:val="18232B"/>
          <w:sz w:val="21"/>
        </w:rPr>
        <w:t>calendario de configuración, capacitación y pruebas;</w:t>
      </w:r>
    </w:p>
    <w:p>
      <w:pPr>
        <w:pStyle w:val="ListBullet"/>
      </w:pPr>
      <w:r>
        <w:rPr>
          <w:rFonts w:ascii="Aptos" w:hAnsi="Aptos"/>
          <w:color w:val="18232B"/>
          <w:sz w:val="21"/>
        </w:rPr>
        <w:t>soporte contratado;</w:t>
      </w:r>
    </w:p>
    <w:p>
      <w:pPr>
        <w:pStyle w:val="ListBullet"/>
      </w:pPr>
      <w:r>
        <w:rPr>
          <w:rFonts w:ascii="Aptos" w:hAnsi="Aptos"/>
          <w:color w:val="18232B"/>
          <w:sz w:val="21"/>
        </w:rPr>
        <w:t>exclusiones y procedimiento de cambios.</w:t>
      </w:r>
    </w:p>
    <w:sectPr w:rsidR="00FC693F" w:rsidRPr="0006063C" w:rsidSect="00034616">
      <w:headerReference w:type="default" r:id="rId9"/>
      <w:footerReference w:type="default" r:id="rId10"/>
      <w:pgSz w:w="12240" w:h="15840"/>
      <w:pgMar w:top="1123" w:right="1440" w:bottom="1037"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F6B73"/>
        <w:sz w:val="18"/>
      </w:rPr>
      <w:t xml:space="preserve">Página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006B55"/>
        <w:sz w:val="17"/>
      </w:rPr>
      <w:t>EVENTPASS VE  |  PLAN COMERCIAL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ptos" w:hAnsi="Aptos"/>
      <w:color w:val="1823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ind w:left="0" w:right="0" w:firstLine="0"/>
      <w:jc w:val="left"/>
      <w:outlineLvl w:val="0"/>
    </w:pPr>
    <w:rPr>
      <w:rFonts w:asciiTheme="majorHAnsi" w:eastAsiaTheme="majorEastAsia" w:hAnsiTheme="majorHAnsi" w:cstheme="majorBidi" w:ascii="Aptos Display" w:hAnsi="Aptos Display"/>
      <w:b/>
      <w:bCs/>
      <w:color w:val="123047"/>
      <w:sz w:val="34"/>
      <w:szCs w:val="28"/>
    </w:rPr>
  </w:style>
  <w:style w:type="paragraph" w:styleId="Heading2">
    <w:name w:val="heading 2"/>
    <w:basedOn w:val="Normal"/>
    <w:next w:val="Normal"/>
    <w:link w:val="Heading2Char"/>
    <w:uiPriority w:val="9"/>
    <w:unhideWhenUsed/>
    <w:qFormat/>
    <w:rsid w:val="00FC693F"/>
    <w:pPr>
      <w:keepNext/>
      <w:keepLines/>
      <w:spacing w:before="240" w:after="120"/>
      <w:ind w:left="0" w:right="0" w:firstLine="0"/>
      <w:jc w:val="left"/>
      <w:outlineLvl w:val="1"/>
    </w:pPr>
    <w:rPr>
      <w:rFonts w:asciiTheme="majorHAnsi" w:eastAsiaTheme="majorEastAsia" w:hAnsiTheme="majorHAnsi" w:cstheme="majorBidi" w:ascii="Aptos Display" w:hAnsi="Aptos Display"/>
      <w:b/>
      <w:bCs/>
      <w:color w:val="006B55"/>
      <w:sz w:val="27"/>
      <w:szCs w:val="26"/>
    </w:rPr>
  </w:style>
  <w:style w:type="paragraph" w:styleId="Heading3">
    <w:name w:val="heading 3"/>
    <w:basedOn w:val="Normal"/>
    <w:next w:val="Normal"/>
    <w:link w:val="Heading3Char"/>
    <w:uiPriority w:val="9"/>
    <w:unhideWhenUsed/>
    <w:qFormat/>
    <w:rsid w:val="00FC693F"/>
    <w:pPr>
      <w:keepNext/>
      <w:keepLines/>
      <w:spacing w:before="160" w:after="80"/>
      <w:ind w:left="0" w:right="0" w:firstLine="0"/>
      <w:jc w:val="left"/>
      <w:outlineLvl w:val="2"/>
    </w:pPr>
    <w:rPr>
      <w:rFonts w:asciiTheme="majorHAnsi" w:eastAsiaTheme="majorEastAsia" w:hAnsiTheme="majorHAnsi" w:cstheme="majorBidi" w:ascii="Aptos Display" w:hAnsi="Aptos Display"/>
      <w:b/>
      <w:bCs/>
      <w:color w:val="12304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ind w:left="0" w:right="0" w:firstLine="0"/>
      <w:contextualSpacing/>
      <w:jc w:val="left"/>
    </w:pPr>
    <w:rPr>
      <w:rFonts w:asciiTheme="majorHAnsi" w:eastAsiaTheme="majorEastAsia" w:hAnsiTheme="majorHAnsi" w:cstheme="majorBidi" w:ascii="Aptos Display" w:hAnsi="Aptos Display"/>
      <w:b/>
      <w:color w:val="123047"/>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ind w:left="0" w:right="0" w:firstLine="0"/>
      <w:jc w:val="left"/>
    </w:pPr>
    <w:rPr>
      <w:rFonts w:asciiTheme="majorHAnsi" w:eastAsiaTheme="majorEastAsia" w:hAnsiTheme="majorHAnsi" w:cstheme="majorBidi" w:ascii="Aptos" w:hAnsi="Aptos"/>
      <w:b w:val="0"/>
      <w:i/>
      <w:iCs/>
      <w:color w:val="5F6B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40" w:hanging="271"/>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40" w:hanging="271"/>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comercial - Evento gremial con exposición</dc:title>
  <dc:subject>Estimación comercial EventPass VE</dc:subject>
  <dc:creator>EventPass VE</dc:creator>
  <cp:keywords>EventPass, evento, asociación, acreditación, stands</cp:keywords>
  <dc:description>generated by python-docx</dc:description>
  <cp:lastModifiedBy/>
  <cp:revision>1</cp:revision>
  <dcterms:created xsi:type="dcterms:W3CDTF">2013-12-23T23:15:00Z</dcterms:created>
  <dcterms:modified xsi:type="dcterms:W3CDTF">2013-12-23T23:15:00Z</dcterms:modified>
  <cp:category/>
</cp:coreProperties>
</file>