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D1E7" w14:textId="1705443C" w:rsidR="00CA30C7" w:rsidRPr="005709EB" w:rsidRDefault="008868CF" w:rsidP="00D655AD">
      <w:pPr>
        <w:pStyle w:val="Ttulo1"/>
        <w:spacing w:before="0"/>
        <w:rPr>
          <w:rFonts w:cstheme="majorHAnsi"/>
          <w:sz w:val="24"/>
          <w:szCs w:val="24"/>
          <w:lang w:val="es-CO"/>
        </w:rPr>
      </w:pPr>
      <w:r w:rsidRPr="005709EB">
        <w:rPr>
          <w:rFonts w:cstheme="majorHAnsi"/>
          <w:sz w:val="24"/>
          <w:szCs w:val="24"/>
          <w:lang w:val="es-CO"/>
        </w:rPr>
        <w:t xml:space="preserve">Taller </w:t>
      </w:r>
      <w:r w:rsidR="005709EB" w:rsidRPr="005709EB">
        <w:rPr>
          <w:rFonts w:cstheme="majorHAnsi"/>
          <w:sz w:val="24"/>
          <w:szCs w:val="24"/>
          <w:lang w:val="es-CO"/>
        </w:rPr>
        <w:t xml:space="preserve">5 – </w:t>
      </w:r>
      <w:r w:rsidR="00573A27">
        <w:rPr>
          <w:rFonts w:cstheme="majorHAnsi"/>
          <w:sz w:val="24"/>
          <w:szCs w:val="24"/>
          <w:lang w:val="es-CO"/>
        </w:rPr>
        <w:t>Construcción de un índice</w:t>
      </w:r>
      <w:r w:rsidR="00122C84">
        <w:rPr>
          <w:rFonts w:cstheme="majorHAnsi"/>
          <w:sz w:val="24"/>
          <w:szCs w:val="24"/>
          <w:lang w:val="es-CO"/>
        </w:rPr>
        <w:t xml:space="preserve"> para entender cambios en la economía global antes y después del COVID</w:t>
      </w:r>
    </w:p>
    <w:p w14:paraId="3461A42D" w14:textId="1CE446C5" w:rsidR="005709EB" w:rsidRPr="005709EB" w:rsidRDefault="005709EB" w:rsidP="00D655AD">
      <w:pPr>
        <w:pStyle w:val="Listaconvietas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  <w:lang w:val="es-CO"/>
        </w:rPr>
      </w:pPr>
      <w:r w:rsidRPr="005709EB">
        <w:rPr>
          <w:rFonts w:asciiTheme="majorHAnsi" w:hAnsiTheme="majorHAnsi" w:cstheme="majorHAnsi"/>
          <w:sz w:val="24"/>
          <w:szCs w:val="24"/>
          <w:lang w:val="es-CO"/>
        </w:rPr>
        <w:t xml:space="preserve">Este taller está basado en: </w:t>
      </w:r>
      <w:hyperlink r:id="rId6" w:history="1">
        <w:r w:rsidRPr="005709EB">
          <w:rPr>
            <w:rStyle w:val="Hipervnculo"/>
            <w:rFonts w:asciiTheme="majorHAnsi" w:hAnsiTheme="majorHAnsi" w:cstheme="majorHAnsi"/>
            <w:sz w:val="24"/>
            <w:szCs w:val="24"/>
            <w:lang w:val="es-CO"/>
          </w:rPr>
          <w:t>https://books.core-econ.org/doing-economics/book/text/10-02.html</w:t>
        </w:r>
      </w:hyperlink>
    </w:p>
    <w:p w14:paraId="6673BC9B" w14:textId="77777777" w:rsidR="00416B3A" w:rsidRDefault="00416B3A" w:rsidP="00D655AD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s-CO"/>
        </w:rPr>
      </w:pPr>
    </w:p>
    <w:p w14:paraId="5ABFE26A" w14:textId="77777777" w:rsidR="00B10161" w:rsidRPr="00B10161" w:rsidRDefault="00573A27" w:rsidP="00416B3A">
      <w:pPr>
        <w:pStyle w:val="Listaconvietas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Vamos a c</w:t>
      </w:r>
      <w:r w:rsidR="00416B3A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rear un índice con </w:t>
      </w:r>
      <w:r w:rsidR="009118C5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1</w:t>
      </w:r>
      <w:r w:rsidR="00416B3A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0 </w:t>
      </w:r>
      <w:r w:rsidR="00002F2E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acciones para</w:t>
      </w:r>
      <w:r w:rsidR="00416B3A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3 </w:t>
      </w:r>
      <w:r w:rsidR="00002F2E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sectores</w:t>
      </w:r>
      <w:r w:rsidR="00416B3A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diferentes</w:t>
      </w:r>
      <w:r w:rsidR="00002F2E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(</w:t>
      </w:r>
      <w:proofErr w:type="spellStart"/>
      <w:r w:rsidR="00002F2E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energy</w:t>
      </w:r>
      <w:proofErr w:type="spellEnd"/>
      <w:r w:rsidR="00002F2E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, </w:t>
      </w:r>
      <w:proofErr w:type="spellStart"/>
      <w:r w:rsidR="00002F2E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materials</w:t>
      </w:r>
      <w:proofErr w:type="spellEnd"/>
      <w:r w:rsidR="00002F2E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, </w:t>
      </w:r>
      <w:proofErr w:type="spellStart"/>
      <w:r w:rsidR="00002F2E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financials</w:t>
      </w:r>
      <w:proofErr w:type="spellEnd"/>
      <w:r w:rsidR="00002F2E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, etc.)</w:t>
      </w:r>
      <w:r w:rsidR="00B10161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:</w:t>
      </w:r>
    </w:p>
    <w:p w14:paraId="7E034798" w14:textId="2B3245C5" w:rsidR="00416B3A" w:rsidRDefault="00573A27" w:rsidP="00B10161">
      <w:pPr>
        <w:pStyle w:val="Listaconvietas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Para ello, vamos a descargar los datos de precios</w:t>
      </w:r>
      <w:r w:rsidR="00002F2E">
        <w:rPr>
          <w:rFonts w:asciiTheme="majorHAnsi" w:hAnsiTheme="majorHAnsi" w:cstheme="majorHAnsi"/>
          <w:sz w:val="24"/>
          <w:szCs w:val="24"/>
          <w:lang w:val="es-CO"/>
        </w:rPr>
        <w:t xml:space="preserve"> de cierre diario</w:t>
      </w:r>
      <w:r>
        <w:rPr>
          <w:rFonts w:asciiTheme="majorHAnsi" w:hAnsiTheme="majorHAnsi" w:cstheme="majorHAnsi"/>
          <w:sz w:val="24"/>
          <w:szCs w:val="24"/>
          <w:lang w:val="es-CO"/>
        </w:rPr>
        <w:t xml:space="preserve"> y volúmenes de las mismas entre 201</w:t>
      </w:r>
      <w:r w:rsidR="00002F2E">
        <w:rPr>
          <w:rFonts w:asciiTheme="majorHAnsi" w:hAnsiTheme="majorHAnsi" w:cstheme="majorHAnsi"/>
          <w:sz w:val="24"/>
          <w:szCs w:val="24"/>
          <w:lang w:val="es-CO"/>
        </w:rPr>
        <w:t>5</w:t>
      </w:r>
      <w:r>
        <w:rPr>
          <w:rFonts w:asciiTheme="majorHAnsi" w:hAnsiTheme="majorHAnsi" w:cstheme="majorHAnsi"/>
          <w:sz w:val="24"/>
          <w:szCs w:val="24"/>
          <w:lang w:val="es-CO"/>
        </w:rPr>
        <w:t xml:space="preserve"> y 202</w:t>
      </w:r>
      <w:r w:rsidR="00002F2E">
        <w:rPr>
          <w:rFonts w:asciiTheme="majorHAnsi" w:hAnsiTheme="majorHAnsi" w:cstheme="majorHAnsi"/>
          <w:sz w:val="24"/>
          <w:szCs w:val="24"/>
          <w:lang w:val="es-CO"/>
        </w:rPr>
        <w:t>5</w:t>
      </w:r>
      <w:r>
        <w:rPr>
          <w:rFonts w:asciiTheme="majorHAnsi" w:hAnsiTheme="majorHAnsi" w:cstheme="majorHAnsi"/>
          <w:sz w:val="24"/>
          <w:szCs w:val="24"/>
          <w:lang w:val="es-CO"/>
        </w:rPr>
        <w:t>.</w:t>
      </w:r>
      <w:r w:rsidR="00B7058F">
        <w:rPr>
          <w:rFonts w:asciiTheme="majorHAnsi" w:hAnsiTheme="majorHAnsi" w:cstheme="majorHAnsi"/>
          <w:sz w:val="24"/>
          <w:szCs w:val="24"/>
          <w:lang w:val="es-CO"/>
        </w:rPr>
        <w:t xml:space="preserve"> Idealmente, utilizar la herramienta de conexión entre Excel y </w:t>
      </w:r>
      <w:proofErr w:type="spellStart"/>
      <w:r w:rsidR="00B7058F">
        <w:rPr>
          <w:rFonts w:asciiTheme="majorHAnsi" w:hAnsiTheme="majorHAnsi" w:cstheme="majorHAnsi"/>
          <w:sz w:val="24"/>
          <w:szCs w:val="24"/>
          <w:lang w:val="es-CO"/>
        </w:rPr>
        <w:t>Bloomberg</w:t>
      </w:r>
      <w:proofErr w:type="spellEnd"/>
      <w:r w:rsidR="00B7058F">
        <w:rPr>
          <w:rFonts w:asciiTheme="majorHAnsi" w:hAnsiTheme="majorHAnsi" w:cstheme="majorHAnsi"/>
          <w:sz w:val="24"/>
          <w:szCs w:val="24"/>
          <w:lang w:val="es-CO"/>
        </w:rPr>
        <w:t>.</w:t>
      </w:r>
      <w:r w:rsidR="001D3107"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  <w:r w:rsidR="00B73252"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</w:p>
    <w:p w14:paraId="27AB5AEA" w14:textId="77777777" w:rsidR="00A43EF5" w:rsidRPr="00B10161" w:rsidRDefault="00A43EF5" w:rsidP="00A43EF5">
      <w:pPr>
        <w:pStyle w:val="Listaconvietas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Construyamos el índice. Para cada región y 2015–2025: </w:t>
      </w:r>
    </w:p>
    <w:p w14:paraId="73CB84F1" w14:textId="137235BD" w:rsidR="00A43EF5" w:rsidRPr="00B7058F" w:rsidRDefault="00A43EF5" w:rsidP="00A43EF5">
      <w:pPr>
        <w:pStyle w:val="Listaconvietas"/>
        <w:numPr>
          <w:ilvl w:val="1"/>
          <w:numId w:val="11"/>
        </w:numPr>
        <w:tabs>
          <w:tab w:val="num" w:pos="1440"/>
        </w:tabs>
        <w:rPr>
          <w:rFonts w:asciiTheme="majorHAnsi" w:hAnsiTheme="majorHAnsi" w:cstheme="majorHAnsi"/>
          <w:sz w:val="24"/>
          <w:szCs w:val="24"/>
          <w:lang w:val="es-CO"/>
        </w:rPr>
      </w:pPr>
      <w:r w:rsidRPr="00B7058F">
        <w:rPr>
          <w:rFonts w:asciiTheme="majorHAnsi" w:hAnsiTheme="majorHAnsi" w:cstheme="majorHAnsi"/>
          <w:sz w:val="24"/>
          <w:szCs w:val="24"/>
          <w:lang w:val="es-CO"/>
        </w:rPr>
        <w:t>Crear pesos según el volumen de transacciones inicial (</w:t>
      </w:r>
      <w:r w:rsidR="001D23D8">
        <w:rPr>
          <w:rFonts w:asciiTheme="majorHAnsi" w:hAnsiTheme="majorHAnsi" w:cstheme="majorHAnsi"/>
          <w:sz w:val="24"/>
          <w:szCs w:val="24"/>
          <w:lang w:val="es-CO"/>
        </w:rPr>
        <w:t xml:space="preserve">ene. </w:t>
      </w:r>
      <w:r w:rsidRPr="00B7058F">
        <w:rPr>
          <w:rFonts w:asciiTheme="majorHAnsi" w:hAnsiTheme="majorHAnsi" w:cstheme="majorHAnsi"/>
          <w:sz w:val="24"/>
          <w:szCs w:val="24"/>
          <w:lang w:val="es-CO"/>
        </w:rPr>
        <w:t xml:space="preserve">2015) sobre el total del índice. </w:t>
      </w:r>
      <w:r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  <w:r w:rsidRPr="00B7058F">
        <w:rPr>
          <w:rFonts w:asciiTheme="majorHAnsi" w:hAnsiTheme="majorHAnsi" w:cstheme="majorHAnsi"/>
          <w:sz w:val="24"/>
          <w:szCs w:val="24"/>
          <w:lang w:val="es-CO"/>
        </w:rPr>
        <w:t>Verificar que sumen 1.</w:t>
      </w:r>
      <w:r w:rsidR="00F97D40">
        <w:rPr>
          <w:rFonts w:asciiTheme="majorHAnsi" w:hAnsiTheme="majorHAnsi" w:cstheme="majorHAnsi"/>
          <w:sz w:val="24"/>
          <w:szCs w:val="24"/>
          <w:lang w:val="es-CO"/>
        </w:rPr>
        <w:t xml:space="preserve"> AQUI</w:t>
      </w:r>
    </w:p>
    <w:p w14:paraId="5BA4AF1C" w14:textId="1E604D4C" w:rsidR="00A43EF5" w:rsidRPr="0070377A" w:rsidRDefault="00A43EF5" w:rsidP="0070377A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 w:rsidRPr="001D23D8">
        <w:rPr>
          <w:rFonts w:asciiTheme="majorHAnsi" w:hAnsiTheme="majorHAnsi" w:cstheme="majorHAnsi"/>
          <w:sz w:val="24"/>
          <w:szCs w:val="24"/>
          <w:lang w:val="es-CO"/>
        </w:rPr>
        <w:t>C</w:t>
      </w:r>
      <w:r w:rsidR="001D23D8" w:rsidRPr="001D23D8">
        <w:rPr>
          <w:rFonts w:asciiTheme="majorHAnsi" w:hAnsiTheme="majorHAnsi" w:cstheme="majorHAnsi"/>
          <w:sz w:val="24"/>
          <w:szCs w:val="24"/>
          <w:lang w:val="es-CO"/>
        </w:rPr>
        <w:t xml:space="preserve">rear pesos según el precio </w:t>
      </w:r>
      <w:r w:rsidR="0070377A">
        <w:rPr>
          <w:rFonts w:asciiTheme="majorHAnsi" w:hAnsiTheme="majorHAnsi" w:cstheme="majorHAnsi"/>
          <w:sz w:val="24"/>
          <w:szCs w:val="24"/>
          <w:lang w:val="es-CO"/>
        </w:rPr>
        <w:t xml:space="preserve">inicial </w:t>
      </w:r>
      <w:r w:rsidR="001D23D8" w:rsidRPr="001D23D8">
        <w:rPr>
          <w:rFonts w:asciiTheme="majorHAnsi" w:hAnsiTheme="majorHAnsi" w:cstheme="majorHAnsi"/>
          <w:sz w:val="24"/>
          <w:szCs w:val="24"/>
          <w:lang w:val="es-CO"/>
        </w:rPr>
        <w:t>de cada acción (</w:t>
      </w:r>
      <w:r w:rsidR="0070377A">
        <w:rPr>
          <w:rFonts w:asciiTheme="majorHAnsi" w:hAnsiTheme="majorHAnsi" w:cstheme="majorHAnsi"/>
          <w:sz w:val="24"/>
          <w:szCs w:val="24"/>
          <w:lang w:val="es-CO"/>
        </w:rPr>
        <w:t>ene</w:t>
      </w:r>
      <w:r w:rsidR="001D23D8">
        <w:rPr>
          <w:rFonts w:asciiTheme="majorHAnsi" w:hAnsiTheme="majorHAnsi" w:cstheme="majorHAnsi"/>
          <w:sz w:val="24"/>
          <w:szCs w:val="24"/>
          <w:lang w:val="es-CO"/>
        </w:rPr>
        <w:t xml:space="preserve">. </w:t>
      </w:r>
      <w:r w:rsidR="001D23D8" w:rsidRPr="001D23D8">
        <w:rPr>
          <w:rFonts w:asciiTheme="majorHAnsi" w:hAnsiTheme="majorHAnsi" w:cstheme="majorHAnsi"/>
          <w:sz w:val="24"/>
          <w:szCs w:val="24"/>
          <w:lang w:val="es-CO"/>
        </w:rPr>
        <w:t>20</w:t>
      </w:r>
      <w:r w:rsidR="0070377A">
        <w:rPr>
          <w:rFonts w:asciiTheme="majorHAnsi" w:hAnsiTheme="majorHAnsi" w:cstheme="majorHAnsi"/>
          <w:sz w:val="24"/>
          <w:szCs w:val="24"/>
          <w:lang w:val="es-CO"/>
        </w:rPr>
        <w:t>15</w:t>
      </w:r>
      <w:r w:rsidR="001D23D8" w:rsidRPr="001D23D8">
        <w:rPr>
          <w:rFonts w:asciiTheme="majorHAnsi" w:hAnsiTheme="majorHAnsi" w:cstheme="majorHAnsi"/>
          <w:sz w:val="24"/>
          <w:szCs w:val="24"/>
          <w:lang w:val="es-CO"/>
        </w:rPr>
        <w:t>), ¿Cómo cambia en comparación a los pesos por volumen de transacción?</w:t>
      </w:r>
      <w:r w:rsidR="0070377A">
        <w:rPr>
          <w:rFonts w:asciiTheme="majorHAnsi" w:hAnsiTheme="majorHAnsi" w:cstheme="majorHAnsi"/>
          <w:sz w:val="24"/>
          <w:szCs w:val="24"/>
          <w:lang w:val="es-CO"/>
        </w:rPr>
        <w:t>, ¿Por qué?</w:t>
      </w:r>
      <w:r w:rsidR="00E537B1"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</w:p>
    <w:p w14:paraId="2D884E27" w14:textId="47689422" w:rsidR="00416B3A" w:rsidRPr="00B10161" w:rsidRDefault="00416B3A" w:rsidP="00416B3A">
      <w:pPr>
        <w:pStyle w:val="Listaconvietas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Resumir datos</w:t>
      </w:r>
    </w:p>
    <w:p w14:paraId="444986E1" w14:textId="17CF74F1" w:rsidR="00416B3A" w:rsidRDefault="00416B3A" w:rsidP="00416B3A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 xml:space="preserve">Describir </w:t>
      </w:r>
      <w:r w:rsidR="009118C5">
        <w:rPr>
          <w:rFonts w:asciiTheme="majorHAnsi" w:hAnsiTheme="majorHAnsi" w:cstheme="majorHAnsi"/>
          <w:sz w:val="24"/>
          <w:szCs w:val="24"/>
          <w:lang w:val="es-CO"/>
        </w:rPr>
        <w:t>la naturaleza del</w:t>
      </w:r>
      <w:r>
        <w:rPr>
          <w:rFonts w:asciiTheme="majorHAnsi" w:hAnsiTheme="majorHAnsi" w:cstheme="majorHAnsi"/>
          <w:sz w:val="24"/>
          <w:szCs w:val="24"/>
          <w:lang w:val="es-CO"/>
        </w:rPr>
        <w:t xml:space="preserve"> índice</w:t>
      </w:r>
      <w:r w:rsidR="009118C5">
        <w:rPr>
          <w:rFonts w:asciiTheme="majorHAnsi" w:hAnsiTheme="majorHAnsi" w:cstheme="majorHAnsi"/>
          <w:sz w:val="24"/>
          <w:szCs w:val="24"/>
          <w:lang w:val="es-CO"/>
        </w:rPr>
        <w:t xml:space="preserve">. ¿Qué incluye?, ¿qué </w:t>
      </w:r>
      <w:r w:rsidR="00002F2E">
        <w:rPr>
          <w:rFonts w:asciiTheme="majorHAnsi" w:hAnsiTheme="majorHAnsi" w:cstheme="majorHAnsi"/>
          <w:sz w:val="24"/>
          <w:szCs w:val="24"/>
          <w:lang w:val="es-CO"/>
        </w:rPr>
        <w:t>sectores o industrias se</w:t>
      </w:r>
      <w:r w:rsidR="009118C5">
        <w:rPr>
          <w:rFonts w:asciiTheme="majorHAnsi" w:hAnsiTheme="majorHAnsi" w:cstheme="majorHAnsi"/>
          <w:sz w:val="24"/>
          <w:szCs w:val="24"/>
          <w:lang w:val="es-CO"/>
        </w:rPr>
        <w:t xml:space="preserve"> tiene</w:t>
      </w:r>
      <w:r w:rsidR="00002F2E">
        <w:rPr>
          <w:rFonts w:asciiTheme="majorHAnsi" w:hAnsiTheme="majorHAnsi" w:cstheme="majorHAnsi"/>
          <w:sz w:val="24"/>
          <w:szCs w:val="24"/>
          <w:lang w:val="es-CO"/>
        </w:rPr>
        <w:t>n</w:t>
      </w:r>
      <w:r w:rsidR="009118C5">
        <w:rPr>
          <w:rFonts w:asciiTheme="majorHAnsi" w:hAnsiTheme="majorHAnsi" w:cstheme="majorHAnsi"/>
          <w:sz w:val="24"/>
          <w:szCs w:val="24"/>
          <w:lang w:val="es-CO"/>
        </w:rPr>
        <w:t xml:space="preserve"> en cuenta?</w:t>
      </w:r>
    </w:p>
    <w:p w14:paraId="35250982" w14:textId="15675616" w:rsidR="000D2AD2" w:rsidRPr="00DF2A93" w:rsidRDefault="00E8765B" w:rsidP="000D2AD2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 xml:space="preserve">R: </w:t>
      </w:r>
      <w:r w:rsidR="000D2AD2"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 xml:space="preserve">El índice está compuesto por 10 acciones de empresas cotizadas en mercados de EE. UU. y Europa (como el S&amp;P 500, LSE y </w:t>
      </w:r>
      <w:proofErr w:type="spellStart"/>
      <w:r w:rsidR="000D2AD2"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Euronext</w:t>
      </w:r>
      <w:proofErr w:type="spellEnd"/>
      <w:r w:rsidR="000D2AD2"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 xml:space="preserve"> París), cubriendo el período 2015–2025. Su objetivo es representar el comportamiento de distintos sectores de la economía real antes y después del COVID-19.</w:t>
      </w:r>
    </w:p>
    <w:p w14:paraId="33170C39" w14:textId="77777777" w:rsidR="000D2AD2" w:rsidRPr="00DF2A93" w:rsidRDefault="000D2AD2" w:rsidP="000D2AD2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El índice se divide en 3 sectores principales:</w:t>
      </w:r>
    </w:p>
    <w:p w14:paraId="0828B241" w14:textId="14704BC2" w:rsidR="000D2AD2" w:rsidRPr="00DF2A93" w:rsidRDefault="000D2AD2" w:rsidP="000D2AD2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Energía (</w:t>
      </w:r>
      <w:proofErr w:type="spellStart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Energy</w:t>
      </w:r>
      <w:proofErr w:type="spellEnd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)</w:t>
      </w:r>
    </w:p>
    <w:p w14:paraId="5B17534F" w14:textId="77777777" w:rsidR="00E8765B" w:rsidRPr="00DF2A93" w:rsidRDefault="000D2AD2" w:rsidP="00E8765B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Empresas petroleras y energéticas integradas, incluyendo petróleo, gas natural y transición a energías renovables.</w:t>
      </w:r>
    </w:p>
    <w:p w14:paraId="05D73000" w14:textId="2399B73D" w:rsidR="000D2AD2" w:rsidRPr="00DF2A93" w:rsidRDefault="000D2AD2" w:rsidP="00E8765B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proofErr w:type="spellStart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Ej</w:t>
      </w:r>
      <w:proofErr w:type="spellEnd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 xml:space="preserve">: ExxonMobil, </w:t>
      </w:r>
      <w:proofErr w:type="spellStart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Chevron</w:t>
      </w:r>
      <w:proofErr w:type="spellEnd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 xml:space="preserve">, BP, </w:t>
      </w:r>
      <w:proofErr w:type="spellStart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TotalEnergies</w:t>
      </w:r>
      <w:proofErr w:type="spellEnd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.</w:t>
      </w:r>
    </w:p>
    <w:p w14:paraId="2B59256D" w14:textId="77777777" w:rsidR="000D2AD2" w:rsidRPr="00DF2A93" w:rsidRDefault="000D2AD2" w:rsidP="00E8765B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Materiales (</w:t>
      </w:r>
      <w:proofErr w:type="spellStart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Materials</w:t>
      </w:r>
      <w:proofErr w:type="spellEnd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)</w:t>
      </w:r>
    </w:p>
    <w:p w14:paraId="15FD8DA2" w14:textId="77777777" w:rsidR="000D2AD2" w:rsidRPr="00DF2A93" w:rsidRDefault="000D2AD2" w:rsidP="00E8765B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Empresas de materias primas e insumos industriales como gases industriales, oro y cobre.</w:t>
      </w:r>
    </w:p>
    <w:p w14:paraId="3B2F3AD2" w14:textId="77777777" w:rsidR="000D2AD2" w:rsidRPr="00DF2A93" w:rsidRDefault="000D2AD2" w:rsidP="00E8765B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proofErr w:type="spellStart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Ej</w:t>
      </w:r>
      <w:proofErr w:type="spellEnd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 xml:space="preserve">: Linde, Air </w:t>
      </w:r>
      <w:proofErr w:type="spellStart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Products</w:t>
      </w:r>
      <w:proofErr w:type="spellEnd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 xml:space="preserve">, </w:t>
      </w:r>
      <w:proofErr w:type="spellStart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Newmont</w:t>
      </w:r>
      <w:proofErr w:type="spellEnd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, Freeport-</w:t>
      </w:r>
      <w:proofErr w:type="spellStart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McMoRan</w:t>
      </w:r>
      <w:proofErr w:type="spellEnd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.</w:t>
      </w:r>
    </w:p>
    <w:p w14:paraId="1DF06242" w14:textId="77777777" w:rsidR="000D2AD2" w:rsidRPr="00DF2A93" w:rsidRDefault="000D2AD2" w:rsidP="00E8765B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Financiero (</w:t>
      </w:r>
      <w:proofErr w:type="spellStart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Financials</w:t>
      </w:r>
      <w:proofErr w:type="spellEnd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)</w:t>
      </w:r>
    </w:p>
    <w:p w14:paraId="29F63AE5" w14:textId="77777777" w:rsidR="000D2AD2" w:rsidRPr="00DF2A93" w:rsidRDefault="000D2AD2" w:rsidP="00E8765B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Grandes bancos con actividades de banca comercial, inversión y gestión de activos.</w:t>
      </w:r>
    </w:p>
    <w:p w14:paraId="7E7A0197" w14:textId="663E3084" w:rsidR="00E22C44" w:rsidRDefault="000D2AD2" w:rsidP="00E22C44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lang w:val="es-CO"/>
        </w:rPr>
      </w:pPr>
      <w:proofErr w:type="spellStart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Ej</w:t>
      </w:r>
      <w:proofErr w:type="spellEnd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 xml:space="preserve">: </w:t>
      </w:r>
      <w:proofErr w:type="spellStart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JPMorgan</w:t>
      </w:r>
      <w:proofErr w:type="spellEnd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 xml:space="preserve"> Chase, Bank of </w:t>
      </w:r>
      <w:proofErr w:type="spellStart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America</w:t>
      </w:r>
      <w:proofErr w:type="spellEnd"/>
      <w:r w:rsidRPr="00DF2A93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.</w:t>
      </w:r>
    </w:p>
    <w:p w14:paraId="248EDA1A" w14:textId="0CE0DF2E" w:rsidR="00002F2E" w:rsidRDefault="00002F2E" w:rsidP="00416B3A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lastRenderedPageBreak/>
        <w:t>Calcular los retornos aritméticos diarios de cada activo para los 3 índices para los 10 años.</w:t>
      </w:r>
    </w:p>
    <w:p w14:paraId="1DB94716" w14:textId="53DCB4BF" w:rsidR="00416B3A" w:rsidRDefault="00416B3A" w:rsidP="00416B3A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 xml:space="preserve">Hacer un gráfico de cajas bigotes para cada </w:t>
      </w:r>
      <w:r w:rsidR="00A43EF5">
        <w:rPr>
          <w:rFonts w:asciiTheme="majorHAnsi" w:hAnsiTheme="majorHAnsi" w:cstheme="majorHAnsi"/>
          <w:sz w:val="24"/>
          <w:szCs w:val="24"/>
          <w:lang w:val="es-CO"/>
        </w:rPr>
        <w:t>índice con los retornos diarios ponderados</w:t>
      </w:r>
      <w:r>
        <w:rPr>
          <w:rFonts w:asciiTheme="majorHAnsi" w:hAnsiTheme="majorHAnsi" w:cstheme="majorHAnsi"/>
          <w:sz w:val="24"/>
          <w:szCs w:val="24"/>
          <w:lang w:val="es-CO"/>
        </w:rPr>
        <w:t>, mostrando los valores atípicos</w:t>
      </w:r>
      <w:r w:rsidR="009118C5">
        <w:rPr>
          <w:rFonts w:asciiTheme="majorHAnsi" w:hAnsiTheme="majorHAnsi" w:cstheme="majorHAnsi"/>
          <w:sz w:val="24"/>
          <w:szCs w:val="24"/>
          <w:lang w:val="es-CO"/>
        </w:rPr>
        <w:t>.</w:t>
      </w:r>
    </w:p>
    <w:p w14:paraId="39C8665F" w14:textId="550ED403" w:rsidR="007E7945" w:rsidRDefault="00391416" w:rsidP="007E7945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DD2804" wp14:editId="4DFCFD13">
            <wp:simplePos x="0" y="0"/>
            <wp:positionH relativeFrom="column">
              <wp:posOffset>354330</wp:posOffset>
            </wp:positionH>
            <wp:positionV relativeFrom="paragraph">
              <wp:posOffset>37465</wp:posOffset>
            </wp:positionV>
            <wp:extent cx="5858510" cy="1321435"/>
            <wp:effectExtent l="0" t="0" r="8890" b="0"/>
            <wp:wrapTopAndBottom/>
            <wp:docPr id="3" name="Image 2" descr="Pictur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 descr="Picture">
                      <a:extLst>
                        <a:ext uri="{FF2B5EF4-FFF2-40B4-BE49-F238E27FC236}">
                          <a16:creationId xmlns:a16="http://schemas.microsoft.com/office/drawing/2014/main" id="{00000000-0008-0000-0600-000003000000}"/>
                        </a:ext>
                      </a:extLst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3D79D" w14:textId="253B5154" w:rsidR="00416B3A" w:rsidRDefault="00A43EF5" w:rsidP="00A43EF5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Hacer un histograma para cada índice con los retornos diarios ponderados y analizar su forma y dispersión.</w:t>
      </w:r>
    </w:p>
    <w:p w14:paraId="429A8A74" w14:textId="045A7C3D" w:rsidR="00874EB5" w:rsidRPr="00A43EF5" w:rsidRDefault="00874EB5" w:rsidP="00236F06">
      <w:pPr>
        <w:pStyle w:val="Prrafodelista"/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FA3D65" wp14:editId="0ED27DF9">
            <wp:simplePos x="0" y="0"/>
            <wp:positionH relativeFrom="column">
              <wp:posOffset>358140</wp:posOffset>
            </wp:positionH>
            <wp:positionV relativeFrom="paragraph">
              <wp:posOffset>6350</wp:posOffset>
            </wp:positionV>
            <wp:extent cx="5486400" cy="2072640"/>
            <wp:effectExtent l="0" t="0" r="0" b="3810"/>
            <wp:wrapTopAndBottom/>
            <wp:docPr id="4" name="Image 3" descr="Pictur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 descr="Picture">
                      <a:extLst>
                        <a:ext uri="{FF2B5EF4-FFF2-40B4-BE49-F238E27FC236}">
                          <a16:creationId xmlns:a16="http://schemas.microsoft.com/office/drawing/2014/main" id="{00000000-0008-0000-0600-000004000000}"/>
                        </a:ext>
                      </a:extLst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E6090" w14:textId="286404A4" w:rsidR="00416B3A" w:rsidRDefault="00E55DF1" w:rsidP="00416B3A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17C54E1" wp14:editId="58F7B0A2">
            <wp:simplePos x="0" y="0"/>
            <wp:positionH relativeFrom="column">
              <wp:posOffset>231140</wp:posOffset>
            </wp:positionH>
            <wp:positionV relativeFrom="paragraph">
              <wp:posOffset>553720</wp:posOffset>
            </wp:positionV>
            <wp:extent cx="5486400" cy="2072640"/>
            <wp:effectExtent l="0" t="0" r="0" b="3810"/>
            <wp:wrapTopAndBottom/>
            <wp:docPr id="2" name="Image 1" descr="Pictur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Picture">
                      <a:extLst>
                        <a:ext uri="{FF2B5EF4-FFF2-40B4-BE49-F238E27FC236}">
                          <a16:creationId xmlns:a16="http://schemas.microsoft.com/office/drawing/2014/main" id="{00000000-0008-0000-0600-000002000000}"/>
                        </a:ext>
                      </a:extLst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6B3A" w:rsidRPr="005709EB">
        <w:rPr>
          <w:rFonts w:asciiTheme="majorHAnsi" w:hAnsiTheme="majorHAnsi" w:cstheme="majorHAnsi"/>
          <w:sz w:val="24"/>
          <w:szCs w:val="24"/>
          <w:lang w:val="es-CO"/>
        </w:rPr>
        <w:t>Ha</w:t>
      </w:r>
      <w:r w:rsidR="009271AA">
        <w:rPr>
          <w:rFonts w:asciiTheme="majorHAnsi" w:hAnsiTheme="majorHAnsi" w:cstheme="majorHAnsi"/>
          <w:sz w:val="24"/>
          <w:szCs w:val="24"/>
          <w:lang w:val="es-CO"/>
        </w:rPr>
        <w:t>cer</w:t>
      </w:r>
      <w:r w:rsidR="00416B3A" w:rsidRPr="005709EB">
        <w:rPr>
          <w:rFonts w:asciiTheme="majorHAnsi" w:hAnsiTheme="majorHAnsi" w:cstheme="majorHAnsi"/>
          <w:sz w:val="24"/>
          <w:szCs w:val="24"/>
          <w:lang w:val="es-CO"/>
        </w:rPr>
        <w:t xml:space="preserve"> un gráfico de línea</w:t>
      </w:r>
      <w:r w:rsidR="009271AA">
        <w:rPr>
          <w:rFonts w:asciiTheme="majorHAnsi" w:hAnsiTheme="majorHAnsi" w:cstheme="majorHAnsi"/>
          <w:sz w:val="24"/>
          <w:szCs w:val="24"/>
          <w:lang w:val="es-CO"/>
        </w:rPr>
        <w:t xml:space="preserve"> con base 100 en enero 2015</w:t>
      </w:r>
      <w:r w:rsidR="00416B3A" w:rsidRPr="005709EB"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  <w:r w:rsidR="009271AA">
        <w:rPr>
          <w:rFonts w:asciiTheme="majorHAnsi" w:hAnsiTheme="majorHAnsi" w:cstheme="majorHAnsi"/>
          <w:sz w:val="24"/>
          <w:szCs w:val="24"/>
          <w:lang w:val="es-CO"/>
        </w:rPr>
        <w:t xml:space="preserve">para los índices </w:t>
      </w:r>
      <w:r w:rsidR="00416B3A" w:rsidRPr="005709EB">
        <w:rPr>
          <w:rFonts w:asciiTheme="majorHAnsi" w:hAnsiTheme="majorHAnsi" w:cstheme="majorHAnsi"/>
          <w:sz w:val="24"/>
          <w:szCs w:val="24"/>
          <w:lang w:val="es-CO"/>
        </w:rPr>
        <w:t>con los</w:t>
      </w:r>
      <w:r w:rsidR="00B10161">
        <w:rPr>
          <w:rFonts w:asciiTheme="majorHAnsi" w:hAnsiTheme="majorHAnsi" w:cstheme="majorHAnsi"/>
          <w:sz w:val="24"/>
          <w:szCs w:val="24"/>
          <w:lang w:val="es-CO"/>
        </w:rPr>
        <w:t xml:space="preserve"> retornos ponderados </w:t>
      </w:r>
      <w:r w:rsidR="00416B3A" w:rsidRPr="005709EB">
        <w:rPr>
          <w:rFonts w:asciiTheme="majorHAnsi" w:hAnsiTheme="majorHAnsi" w:cstheme="majorHAnsi"/>
          <w:sz w:val="24"/>
          <w:szCs w:val="24"/>
          <w:lang w:val="es-CO"/>
        </w:rPr>
        <w:t>y comenta patrones</w:t>
      </w:r>
      <w:r w:rsidR="00B10161">
        <w:rPr>
          <w:rFonts w:asciiTheme="majorHAnsi" w:hAnsiTheme="majorHAnsi" w:cstheme="majorHAnsi"/>
          <w:sz w:val="24"/>
          <w:szCs w:val="24"/>
          <w:lang w:val="es-CO"/>
        </w:rPr>
        <w:t xml:space="preserve"> o estacionalidades.</w:t>
      </w:r>
    </w:p>
    <w:p w14:paraId="6063864D" w14:textId="0CE42B76" w:rsidR="009B683B" w:rsidRDefault="009B683B" w:rsidP="009B683B">
      <w:pPr>
        <w:pStyle w:val="Prrafodelista"/>
        <w:rPr>
          <w:rFonts w:asciiTheme="majorHAnsi" w:hAnsiTheme="majorHAnsi" w:cstheme="majorHAnsi"/>
          <w:sz w:val="24"/>
          <w:szCs w:val="24"/>
          <w:lang w:val="es-CO"/>
        </w:rPr>
      </w:pPr>
    </w:p>
    <w:p w14:paraId="3DAAE6C2" w14:textId="14012876" w:rsidR="009B683B" w:rsidRDefault="009B683B" w:rsidP="009B683B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lang w:val="es-CO"/>
        </w:rPr>
      </w:pPr>
    </w:p>
    <w:p w14:paraId="5373C65F" w14:textId="70E9E8C9" w:rsidR="00573A27" w:rsidRPr="006F2737" w:rsidRDefault="00573A27" w:rsidP="006F2737">
      <w:pPr>
        <w:pStyle w:val="Listaconvietas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Mundo antes y después del COVID. Para 201</w:t>
      </w:r>
      <w:r w:rsid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5</w:t>
      </w:r>
      <w:r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y 202</w:t>
      </w:r>
      <w:r w:rsid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5</w:t>
      </w:r>
      <w:r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: </w:t>
      </w:r>
    </w:p>
    <w:p w14:paraId="1B8E03C1" w14:textId="1DBE0CA8" w:rsidR="00573A27" w:rsidRPr="005709EB" w:rsidRDefault="006F2737" w:rsidP="00573A27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Calcular</w:t>
      </w:r>
      <w:r w:rsidR="00573A27" w:rsidRPr="005709EB">
        <w:rPr>
          <w:rFonts w:asciiTheme="majorHAnsi" w:hAnsiTheme="majorHAnsi" w:cstheme="majorHAnsi"/>
          <w:sz w:val="24"/>
          <w:szCs w:val="24"/>
          <w:lang w:val="es-CO"/>
        </w:rPr>
        <w:t xml:space="preserve"> desviaciones estándar y número de observaciones</w:t>
      </w:r>
      <w:r>
        <w:rPr>
          <w:rFonts w:asciiTheme="majorHAnsi" w:hAnsiTheme="majorHAnsi" w:cstheme="majorHAnsi"/>
          <w:sz w:val="24"/>
          <w:szCs w:val="24"/>
          <w:lang w:val="es-CO"/>
        </w:rPr>
        <w:t xml:space="preserve"> para los retornos ponderados de cada índice</w:t>
      </w:r>
      <w:r w:rsidR="00573A27" w:rsidRPr="005709EB">
        <w:rPr>
          <w:rFonts w:asciiTheme="majorHAnsi" w:hAnsiTheme="majorHAnsi" w:cstheme="majorHAnsi"/>
          <w:sz w:val="24"/>
          <w:szCs w:val="24"/>
          <w:lang w:val="es-CO"/>
        </w:rPr>
        <w:t>.</w:t>
      </w:r>
    </w:p>
    <w:p w14:paraId="3232C367" w14:textId="779F61D2" w:rsidR="00573A27" w:rsidRDefault="00573A27" w:rsidP="00573A27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 w:rsidRPr="005709EB">
        <w:rPr>
          <w:rFonts w:asciiTheme="majorHAnsi" w:hAnsiTheme="majorHAnsi" w:cstheme="majorHAnsi"/>
          <w:sz w:val="24"/>
          <w:szCs w:val="24"/>
          <w:lang w:val="es-CO"/>
        </w:rPr>
        <w:t>Calcula IC 95% con CONFIDENCE.T</w:t>
      </w:r>
      <w:r w:rsidR="006F2737">
        <w:rPr>
          <w:rFonts w:asciiTheme="majorHAnsi" w:hAnsiTheme="majorHAnsi" w:cstheme="majorHAnsi"/>
          <w:sz w:val="24"/>
          <w:szCs w:val="24"/>
          <w:lang w:val="es-CO"/>
        </w:rPr>
        <w:t xml:space="preserve"> de los retornos ponderados de cada índice.</w:t>
      </w:r>
    </w:p>
    <w:p w14:paraId="1A18C2F4" w14:textId="157E97DF" w:rsidR="00B7058F" w:rsidRDefault="00B7058F" w:rsidP="00573A27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 xml:space="preserve">Con gráficos de barras (una por </w:t>
      </w:r>
      <w:r w:rsidR="006F2737">
        <w:rPr>
          <w:rFonts w:asciiTheme="majorHAnsi" w:hAnsiTheme="majorHAnsi" w:cstheme="majorHAnsi"/>
          <w:sz w:val="24"/>
          <w:szCs w:val="24"/>
          <w:lang w:val="es-CO"/>
        </w:rPr>
        <w:t>índice</w:t>
      </w:r>
      <w:r>
        <w:rPr>
          <w:rFonts w:asciiTheme="majorHAnsi" w:hAnsiTheme="majorHAnsi" w:cstheme="majorHAnsi"/>
          <w:sz w:val="24"/>
          <w:szCs w:val="24"/>
          <w:lang w:val="es-CO"/>
        </w:rPr>
        <w:t>), graficar las diferencias incluyendo los intervalos de confianza.</w:t>
      </w:r>
    </w:p>
    <w:p w14:paraId="13F81EB2" w14:textId="178D0812" w:rsidR="0072333D" w:rsidRDefault="00DC080F" w:rsidP="0072333D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6F5887E" wp14:editId="4F38AC6F">
            <wp:simplePos x="0" y="0"/>
            <wp:positionH relativeFrom="column">
              <wp:posOffset>22225</wp:posOffset>
            </wp:positionH>
            <wp:positionV relativeFrom="paragraph">
              <wp:posOffset>41275</wp:posOffset>
            </wp:positionV>
            <wp:extent cx="5486400" cy="2072640"/>
            <wp:effectExtent l="0" t="0" r="0" b="3810"/>
            <wp:wrapTopAndBottom/>
            <wp:docPr id="5" name="Image 4" descr="Pictur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Picture">
                      <a:extLst>
                        <a:ext uri="{FF2B5EF4-FFF2-40B4-BE49-F238E27FC236}">
                          <a16:creationId xmlns:a16="http://schemas.microsoft.com/office/drawing/2014/main" id="{00000000-0008-0000-0600-000005000000}"/>
                        </a:ext>
                      </a:extLst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8C210" w14:textId="47C76764" w:rsidR="00EB3505" w:rsidRPr="00263767" w:rsidRDefault="00B7058F" w:rsidP="00263767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Interpretar: ¿hay evidencia de un cambio notable antes y después del COVID?, ¿por qué?</w:t>
      </w:r>
    </w:p>
    <w:p w14:paraId="280D055C" w14:textId="5AD2234B" w:rsidR="00263767" w:rsidRPr="00263767" w:rsidRDefault="00263767" w:rsidP="00263767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263767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R: Sí, hay evidencia clara de un cambio estructural antes y después del COVID-19.</w:t>
      </w:r>
    </w:p>
    <w:p w14:paraId="16935625" w14:textId="77777777" w:rsidR="00263767" w:rsidRPr="00263767" w:rsidRDefault="00263767" w:rsidP="00263767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263767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En primer lugar, los intervalos de confianza al 95% (IC) de los retornos medios pre y post COVID no se solapan, lo que indica un cambio estadísticamente significativo en las medias.</w:t>
      </w:r>
    </w:p>
    <w:p w14:paraId="2D5C7401" w14:textId="77777777" w:rsidR="00263767" w:rsidRPr="00263767" w:rsidRDefault="00263767" w:rsidP="00263767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263767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Además, la desviación estándar es mayor en el periodo post-COVID, lo que refleja mayor volatilidad en los mercados tras la pandemia.</w:t>
      </w:r>
    </w:p>
    <w:p w14:paraId="4EDB046F" w14:textId="77777777" w:rsidR="00263767" w:rsidRPr="00263767" w:rsidRDefault="00263767" w:rsidP="00263767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263767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Por sectores:</w:t>
      </w:r>
    </w:p>
    <w:p w14:paraId="4345E766" w14:textId="77777777" w:rsidR="00263767" w:rsidRPr="00263767" w:rsidRDefault="00263767" w:rsidP="00263767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263767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Energía: sufrió un fuerte shock por el colapso del petróleo en 2020 (incluso precios negativos), con una recuperación más lenta.</w:t>
      </w:r>
    </w:p>
    <w:p w14:paraId="6BCAFC0F" w14:textId="32CBD8D1" w:rsidR="00263767" w:rsidRPr="00263767" w:rsidRDefault="00263767" w:rsidP="00263767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highlight w:val="yellow"/>
          <w:lang w:val="es-CO"/>
        </w:rPr>
      </w:pPr>
      <w:r w:rsidRPr="00263767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Materiales: mostró mayor resiliencia, impulsado por la demanda de metales (especialmente el cobre en 2021).</w:t>
      </w:r>
    </w:p>
    <w:p w14:paraId="0F82A6C7" w14:textId="6534BAA4" w:rsidR="00EB3505" w:rsidRPr="005709EB" w:rsidRDefault="00263767" w:rsidP="00EB3505">
      <w:pPr>
        <w:pStyle w:val="Listaconvietas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  <w:lang w:val="es-CO"/>
        </w:rPr>
      </w:pPr>
      <w:r w:rsidRPr="00263767">
        <w:rPr>
          <w:rFonts w:asciiTheme="majorHAnsi" w:hAnsiTheme="majorHAnsi" w:cstheme="majorHAnsi"/>
          <w:sz w:val="24"/>
          <w:szCs w:val="24"/>
          <w:highlight w:val="yellow"/>
          <w:lang w:val="es-CO"/>
        </w:rPr>
        <w:t>Financiero: fue afectado en 2020 por el riesgo de crédito, pero tuvo una fuerte recuperación posterior gracias a la subida de tasas de interés.</w:t>
      </w:r>
    </w:p>
    <w:p w14:paraId="673012F0" w14:textId="77777777" w:rsidR="00573A27" w:rsidRDefault="00573A27" w:rsidP="00573A27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s-CO"/>
        </w:rPr>
      </w:pPr>
    </w:p>
    <w:sectPr w:rsidR="00573A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6C23C8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DA386F"/>
    <w:multiLevelType w:val="hybridMultilevel"/>
    <w:tmpl w:val="26BEB9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0A5684"/>
    <w:multiLevelType w:val="hybridMultilevel"/>
    <w:tmpl w:val="966069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9F0A06"/>
    <w:multiLevelType w:val="hybridMultilevel"/>
    <w:tmpl w:val="7E388A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90643">
    <w:abstractNumId w:val="8"/>
  </w:num>
  <w:num w:numId="2" w16cid:durableId="2129932522">
    <w:abstractNumId w:val="6"/>
  </w:num>
  <w:num w:numId="3" w16cid:durableId="535461504">
    <w:abstractNumId w:val="5"/>
  </w:num>
  <w:num w:numId="4" w16cid:durableId="1419712707">
    <w:abstractNumId w:val="4"/>
  </w:num>
  <w:num w:numId="5" w16cid:durableId="1007638029">
    <w:abstractNumId w:val="7"/>
  </w:num>
  <w:num w:numId="6" w16cid:durableId="1937202424">
    <w:abstractNumId w:val="3"/>
  </w:num>
  <w:num w:numId="7" w16cid:durableId="864513968">
    <w:abstractNumId w:val="2"/>
  </w:num>
  <w:num w:numId="8" w16cid:durableId="1895316183">
    <w:abstractNumId w:val="1"/>
  </w:num>
  <w:num w:numId="9" w16cid:durableId="1249387299">
    <w:abstractNumId w:val="0"/>
  </w:num>
  <w:num w:numId="10" w16cid:durableId="1834909065">
    <w:abstractNumId w:val="11"/>
  </w:num>
  <w:num w:numId="11" w16cid:durableId="782312507">
    <w:abstractNumId w:val="10"/>
  </w:num>
  <w:num w:numId="12" w16cid:durableId="701173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2E"/>
    <w:rsid w:val="00005582"/>
    <w:rsid w:val="00034616"/>
    <w:rsid w:val="0006063C"/>
    <w:rsid w:val="000D2AD2"/>
    <w:rsid w:val="00122C84"/>
    <w:rsid w:val="0015074B"/>
    <w:rsid w:val="001B7656"/>
    <w:rsid w:val="001D23D8"/>
    <w:rsid w:val="001D3107"/>
    <w:rsid w:val="00236F06"/>
    <w:rsid w:val="00263767"/>
    <w:rsid w:val="0029639D"/>
    <w:rsid w:val="00326F90"/>
    <w:rsid w:val="00331EF0"/>
    <w:rsid w:val="00391416"/>
    <w:rsid w:val="003B3E7E"/>
    <w:rsid w:val="00416B3A"/>
    <w:rsid w:val="005709EB"/>
    <w:rsid w:val="00573A27"/>
    <w:rsid w:val="006F2737"/>
    <w:rsid w:val="0070377A"/>
    <w:rsid w:val="0072333D"/>
    <w:rsid w:val="00740777"/>
    <w:rsid w:val="007A71B2"/>
    <w:rsid w:val="007E7945"/>
    <w:rsid w:val="00872ED1"/>
    <w:rsid w:val="00874EB5"/>
    <w:rsid w:val="008868CF"/>
    <w:rsid w:val="009118C5"/>
    <w:rsid w:val="009271AA"/>
    <w:rsid w:val="009913E2"/>
    <w:rsid w:val="009B683B"/>
    <w:rsid w:val="00A053A8"/>
    <w:rsid w:val="00A43EF5"/>
    <w:rsid w:val="00A46062"/>
    <w:rsid w:val="00AA1D8D"/>
    <w:rsid w:val="00B10161"/>
    <w:rsid w:val="00B47730"/>
    <w:rsid w:val="00B7058F"/>
    <w:rsid w:val="00B73252"/>
    <w:rsid w:val="00C458B9"/>
    <w:rsid w:val="00CA30C7"/>
    <w:rsid w:val="00CB0664"/>
    <w:rsid w:val="00CE6230"/>
    <w:rsid w:val="00D435C9"/>
    <w:rsid w:val="00D655AD"/>
    <w:rsid w:val="00DC080F"/>
    <w:rsid w:val="00DF2A93"/>
    <w:rsid w:val="00E22C44"/>
    <w:rsid w:val="00E312AC"/>
    <w:rsid w:val="00E537B1"/>
    <w:rsid w:val="00E55DF1"/>
    <w:rsid w:val="00E8765B"/>
    <w:rsid w:val="00EB3505"/>
    <w:rsid w:val="00F97D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8EB87"/>
  <w14:defaultImageDpi w14:val="300"/>
  <w15:docId w15:val="{5EBC8C13-E632-497D-A5A5-C51199F6C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5709E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709E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0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8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tyles" Target="style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books.core-econ.org/doing-economics/book/text/10-02.html" TargetMode="Externa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4.png" /><Relationship Id="rId4" Type="http://schemas.openxmlformats.org/officeDocument/2006/relationships/settings" Target="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541</Words>
  <Characters>2968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Esteban Mora</cp:lastModifiedBy>
  <cp:revision>24</cp:revision>
  <dcterms:created xsi:type="dcterms:W3CDTF">2026-04-06T17:10:00Z</dcterms:created>
  <dcterms:modified xsi:type="dcterms:W3CDTF">2026-04-06T17:42:00Z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95212ca4-ebc8-4988-ae4a-714e36c9a570</vt:lpwstr>
  </property>
</Properties>
</file>