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763E" w14:textId="77777777" w:rsidR="003C290D" w:rsidRPr="00E82709" w:rsidRDefault="003C290D" w:rsidP="00446348">
      <w:pPr>
        <w:ind w:firstLine="0"/>
        <w:jc w:val="center"/>
        <w:rPr>
          <w:b/>
          <w:bCs/>
          <w:sz w:val="32"/>
          <w:szCs w:val="32"/>
          <w:lang w:val="es-EC"/>
        </w:rPr>
      </w:pPr>
      <w:r w:rsidRPr="00E82709">
        <w:rPr>
          <w:b/>
          <w:bCs/>
          <w:sz w:val="32"/>
          <w:szCs w:val="32"/>
          <w:highlight w:val="yellow"/>
          <w:lang w:val="es-EC"/>
        </w:rPr>
        <w:t>RESUMEN</w:t>
      </w:r>
    </w:p>
    <w:p w14:paraId="48FFEB7A" w14:textId="1490D95F" w:rsidR="006E78E7" w:rsidRPr="006E78E7" w:rsidRDefault="00252EEA" w:rsidP="006E78E7">
      <w:pPr>
        <w:pStyle w:val="Heading2"/>
        <w:rPr>
          <w:lang w:val="es-EC"/>
        </w:rPr>
      </w:pPr>
      <w:r w:rsidRPr="00252EEA">
        <w:rPr>
          <w:lang w:val="es-EC"/>
        </w:rPr>
        <w:t>Selección y Representación de Tipologías Vehiculares</w:t>
      </w:r>
    </w:p>
    <w:p w14:paraId="595A70E6" w14:textId="77777777" w:rsidR="00395A43" w:rsidRDefault="00252EEA" w:rsidP="0098046E">
      <w:pPr>
        <w:rPr>
          <w:lang w:val="es-EC"/>
        </w:rPr>
      </w:pPr>
      <w:r w:rsidRPr="00252EEA">
        <w:rPr>
          <w:lang w:val="es-EC"/>
        </w:rPr>
        <w:t>Para representar de manera adecuada la flota vehicular en las islas Galápagos dentro del modelo energético, se adoptó una clasificación simplificada basada en tipologías vehiculares representativas.</w:t>
      </w:r>
      <w:r w:rsidR="00CD2676">
        <w:rPr>
          <w:lang w:val="es-EC"/>
        </w:rPr>
        <w:t xml:space="preserve"> </w:t>
      </w:r>
      <w:r w:rsidRPr="00252EEA">
        <w:rPr>
          <w:lang w:val="es-EC"/>
        </w:rPr>
        <w:t xml:space="preserve">En este contexto, se seleccionaron cinco categorías principales de vehículos que reflejan los usos predominantes en las islas, considerando tanto el transporte de pasajeros como de carga y actividades económicas clave como el turismo. </w:t>
      </w:r>
    </w:p>
    <w:p w14:paraId="5A2DAF90" w14:textId="0E4A7440" w:rsidR="00252EEA" w:rsidRDefault="00252EEA" w:rsidP="0098046E">
      <w:pPr>
        <w:rPr>
          <w:lang w:val="es-EC"/>
        </w:rPr>
      </w:pPr>
      <w:r w:rsidRPr="00252EEA">
        <w:rPr>
          <w:lang w:val="es-EC"/>
        </w:rPr>
        <w:t>Para cada categoría se eligió un modelo representativo específico, priorizando marcas con presencia en Ecuador (continente o Galápagos), lo que garantiza coherencia con la disponibilidad tecnológica real.</w:t>
      </w:r>
    </w:p>
    <w:p w14:paraId="505C352A" w14:textId="592421D6" w:rsidR="006A6344" w:rsidRPr="00142292" w:rsidRDefault="006A6344" w:rsidP="00142292">
      <w:pPr>
        <w:ind w:firstLine="0"/>
        <w:jc w:val="center"/>
        <w:rPr>
          <w:i/>
          <w:iCs/>
          <w:lang w:val="es-EC"/>
        </w:rPr>
      </w:pPr>
      <w:r w:rsidRPr="00142292">
        <w:rPr>
          <w:b/>
          <w:bCs/>
          <w:i/>
          <w:iCs/>
          <w:lang w:val="es-EC"/>
        </w:rPr>
        <w:t>Tabla 1.</w:t>
      </w:r>
      <w:r w:rsidRPr="00142292">
        <w:rPr>
          <w:i/>
          <w:iCs/>
          <w:lang w:val="es-EC"/>
        </w:rPr>
        <w:t xml:space="preserve"> Vehículos representativos para el modelo</w:t>
      </w:r>
    </w:p>
    <w:tbl>
      <w:tblPr>
        <w:tblStyle w:val="TableGrid"/>
        <w:tblW w:w="0" w:type="auto"/>
        <w:jc w:val="center"/>
        <w:tblLook w:val="04A0" w:firstRow="1" w:lastRow="0" w:firstColumn="1" w:lastColumn="0" w:noHBand="0" w:noVBand="1"/>
      </w:tblPr>
      <w:tblGrid>
        <w:gridCol w:w="1948"/>
        <w:gridCol w:w="2564"/>
      </w:tblGrid>
      <w:tr w:rsidR="00252EEA" w:rsidRPr="006B6B4D" w14:paraId="5C77878A" w14:textId="77777777" w:rsidTr="26C37AB1">
        <w:trPr>
          <w:trHeight w:val="530"/>
          <w:jc w:val="center"/>
        </w:trPr>
        <w:tc>
          <w:tcPr>
            <w:tcW w:w="0" w:type="auto"/>
            <w:shd w:val="clear" w:color="auto" w:fill="D9D9D9" w:themeFill="background1" w:themeFillShade="D9"/>
            <w:vAlign w:val="center"/>
            <w:hideMark/>
          </w:tcPr>
          <w:p w14:paraId="25B51F46" w14:textId="77777777" w:rsidR="00252EEA" w:rsidRPr="006B6B4D" w:rsidRDefault="00252EEA" w:rsidP="006B6B4D">
            <w:pPr>
              <w:pStyle w:val="NoSpacing"/>
              <w:ind w:firstLine="0"/>
              <w:jc w:val="center"/>
              <w:rPr>
                <w:b/>
                <w:bCs/>
              </w:rPr>
            </w:pPr>
            <w:r w:rsidRPr="006B6B4D">
              <w:rPr>
                <w:b/>
                <w:bCs/>
              </w:rPr>
              <w:t>Tipo de vehículo</w:t>
            </w:r>
          </w:p>
        </w:tc>
        <w:tc>
          <w:tcPr>
            <w:tcW w:w="0" w:type="auto"/>
            <w:shd w:val="clear" w:color="auto" w:fill="D9D9D9" w:themeFill="background1" w:themeFillShade="D9"/>
            <w:vAlign w:val="center"/>
            <w:hideMark/>
          </w:tcPr>
          <w:p w14:paraId="307D92DA" w14:textId="77777777" w:rsidR="00252EEA" w:rsidRPr="006B6B4D" w:rsidRDefault="00252EEA" w:rsidP="006B6B4D">
            <w:pPr>
              <w:pStyle w:val="NoSpacing"/>
              <w:ind w:firstLine="0"/>
              <w:jc w:val="center"/>
              <w:rPr>
                <w:b/>
                <w:bCs/>
              </w:rPr>
            </w:pPr>
            <w:r w:rsidRPr="006B6B4D">
              <w:rPr>
                <w:b/>
                <w:bCs/>
              </w:rPr>
              <w:t>Modelo representativo</w:t>
            </w:r>
          </w:p>
        </w:tc>
      </w:tr>
      <w:tr w:rsidR="00252EEA" w:rsidRPr="00252EEA" w14:paraId="12DDBA94" w14:textId="77777777" w:rsidTr="26C37AB1">
        <w:trPr>
          <w:trHeight w:val="432"/>
          <w:jc w:val="center"/>
        </w:trPr>
        <w:tc>
          <w:tcPr>
            <w:tcW w:w="0" w:type="auto"/>
            <w:vAlign w:val="center"/>
            <w:hideMark/>
          </w:tcPr>
          <w:p w14:paraId="7097AADF" w14:textId="77777777" w:rsidR="00252EEA" w:rsidRPr="00252EEA" w:rsidRDefault="00252EEA" w:rsidP="006B6B4D">
            <w:pPr>
              <w:pStyle w:val="NoSpacing"/>
              <w:ind w:firstLine="0"/>
              <w:jc w:val="center"/>
            </w:pPr>
            <w:r w:rsidRPr="00252EEA">
              <w:t>Pickup</w:t>
            </w:r>
          </w:p>
        </w:tc>
        <w:tc>
          <w:tcPr>
            <w:tcW w:w="0" w:type="auto"/>
            <w:vAlign w:val="center"/>
            <w:hideMark/>
          </w:tcPr>
          <w:p w14:paraId="058322E1" w14:textId="77777777" w:rsidR="00252EEA" w:rsidRPr="00252EEA" w:rsidRDefault="00252EEA" w:rsidP="006B6B4D">
            <w:pPr>
              <w:pStyle w:val="NoSpacing"/>
              <w:ind w:firstLine="0"/>
              <w:jc w:val="center"/>
            </w:pPr>
            <w:r w:rsidRPr="00252EEA">
              <w:t>Riddara RD6</w:t>
            </w:r>
          </w:p>
        </w:tc>
      </w:tr>
      <w:tr w:rsidR="00252EEA" w:rsidRPr="00252EEA" w14:paraId="429590E2" w14:textId="77777777" w:rsidTr="26C37AB1">
        <w:trPr>
          <w:trHeight w:val="432"/>
          <w:jc w:val="center"/>
        </w:trPr>
        <w:tc>
          <w:tcPr>
            <w:tcW w:w="0" w:type="auto"/>
            <w:vAlign w:val="center"/>
            <w:hideMark/>
          </w:tcPr>
          <w:p w14:paraId="5F4B7304" w14:textId="77777777" w:rsidR="00252EEA" w:rsidRPr="00252EEA" w:rsidRDefault="00252EEA" w:rsidP="006B6B4D">
            <w:pPr>
              <w:pStyle w:val="NoSpacing"/>
              <w:ind w:firstLine="0"/>
              <w:jc w:val="center"/>
            </w:pPr>
            <w:r w:rsidRPr="00252EEA">
              <w:t>Bus</w:t>
            </w:r>
          </w:p>
        </w:tc>
        <w:tc>
          <w:tcPr>
            <w:tcW w:w="0" w:type="auto"/>
            <w:vAlign w:val="center"/>
            <w:hideMark/>
          </w:tcPr>
          <w:p w14:paraId="6C884395" w14:textId="4C7114F3" w:rsidR="00252EEA" w:rsidRPr="00252EEA" w:rsidRDefault="26C37AB1" w:rsidP="006B6B4D">
            <w:pPr>
              <w:pStyle w:val="NoSpacing"/>
              <w:ind w:firstLine="0"/>
              <w:jc w:val="center"/>
            </w:pPr>
            <w:r>
              <w:t>BYD C9</w:t>
            </w:r>
          </w:p>
        </w:tc>
      </w:tr>
      <w:tr w:rsidR="00252EEA" w:rsidRPr="00252EEA" w14:paraId="1455389E" w14:textId="77777777" w:rsidTr="26C37AB1">
        <w:trPr>
          <w:trHeight w:val="432"/>
          <w:jc w:val="center"/>
        </w:trPr>
        <w:tc>
          <w:tcPr>
            <w:tcW w:w="0" w:type="auto"/>
            <w:vAlign w:val="center"/>
            <w:hideMark/>
          </w:tcPr>
          <w:p w14:paraId="7EE3FB59" w14:textId="77777777" w:rsidR="00252EEA" w:rsidRPr="00252EEA" w:rsidRDefault="00252EEA" w:rsidP="006B6B4D">
            <w:pPr>
              <w:pStyle w:val="NoSpacing"/>
              <w:ind w:firstLine="0"/>
              <w:jc w:val="center"/>
            </w:pPr>
            <w:r w:rsidRPr="00252EEA">
              <w:t>Camión pesado</w:t>
            </w:r>
          </w:p>
        </w:tc>
        <w:tc>
          <w:tcPr>
            <w:tcW w:w="0" w:type="auto"/>
            <w:vAlign w:val="center"/>
            <w:hideMark/>
          </w:tcPr>
          <w:p w14:paraId="0B2E8FF4" w14:textId="77777777" w:rsidR="00252EEA" w:rsidRPr="00252EEA" w:rsidRDefault="00252EEA" w:rsidP="006B6B4D">
            <w:pPr>
              <w:pStyle w:val="NoSpacing"/>
              <w:ind w:firstLine="0"/>
              <w:jc w:val="center"/>
            </w:pPr>
            <w:r w:rsidRPr="00252EEA">
              <w:t>BYD T5</w:t>
            </w:r>
          </w:p>
        </w:tc>
      </w:tr>
      <w:tr w:rsidR="00252EEA" w:rsidRPr="00252EEA" w14:paraId="6697033D" w14:textId="77777777" w:rsidTr="26C37AB1">
        <w:trPr>
          <w:trHeight w:val="432"/>
          <w:jc w:val="center"/>
        </w:trPr>
        <w:tc>
          <w:tcPr>
            <w:tcW w:w="0" w:type="auto"/>
            <w:vAlign w:val="center"/>
            <w:hideMark/>
          </w:tcPr>
          <w:p w14:paraId="2469C8FC" w14:textId="77777777" w:rsidR="00252EEA" w:rsidRPr="00252EEA" w:rsidRDefault="00252EEA" w:rsidP="006B6B4D">
            <w:pPr>
              <w:pStyle w:val="NoSpacing"/>
              <w:ind w:firstLine="0"/>
              <w:jc w:val="center"/>
            </w:pPr>
            <w:r w:rsidRPr="00252EEA">
              <w:t>Motocicleta</w:t>
            </w:r>
          </w:p>
        </w:tc>
        <w:tc>
          <w:tcPr>
            <w:tcW w:w="0" w:type="auto"/>
            <w:vAlign w:val="center"/>
            <w:hideMark/>
          </w:tcPr>
          <w:p w14:paraId="09503F3F" w14:textId="0F2E39FE" w:rsidR="00252EEA" w:rsidRPr="00252EEA" w:rsidRDefault="00327807" w:rsidP="006B6B4D">
            <w:pPr>
              <w:pStyle w:val="NoSpacing"/>
              <w:ind w:firstLine="0"/>
              <w:jc w:val="center"/>
            </w:pPr>
            <w:r w:rsidRPr="00327807">
              <w:t>Super Soco TC Max</w:t>
            </w:r>
          </w:p>
        </w:tc>
      </w:tr>
      <w:tr w:rsidR="00252EEA" w:rsidRPr="00252EEA" w14:paraId="0D22CD45" w14:textId="77777777" w:rsidTr="26C37AB1">
        <w:trPr>
          <w:trHeight w:val="432"/>
          <w:jc w:val="center"/>
        </w:trPr>
        <w:tc>
          <w:tcPr>
            <w:tcW w:w="0" w:type="auto"/>
            <w:vAlign w:val="center"/>
            <w:hideMark/>
          </w:tcPr>
          <w:p w14:paraId="4A643392" w14:textId="77777777" w:rsidR="00252EEA" w:rsidRPr="00252EEA" w:rsidRDefault="00252EEA" w:rsidP="006B6B4D">
            <w:pPr>
              <w:pStyle w:val="NoSpacing"/>
              <w:ind w:firstLine="0"/>
              <w:jc w:val="center"/>
            </w:pPr>
            <w:r w:rsidRPr="00252EEA">
              <w:t>SUV / Auto</w:t>
            </w:r>
          </w:p>
        </w:tc>
        <w:tc>
          <w:tcPr>
            <w:tcW w:w="0" w:type="auto"/>
            <w:vAlign w:val="center"/>
            <w:hideMark/>
          </w:tcPr>
          <w:p w14:paraId="011B3DE9" w14:textId="77777777" w:rsidR="00252EEA" w:rsidRPr="00252EEA" w:rsidRDefault="00252EEA" w:rsidP="006B6B4D">
            <w:pPr>
              <w:pStyle w:val="NoSpacing"/>
              <w:ind w:firstLine="0"/>
              <w:jc w:val="center"/>
            </w:pPr>
            <w:r w:rsidRPr="00252EEA">
              <w:t>Kia EV5</w:t>
            </w:r>
          </w:p>
        </w:tc>
      </w:tr>
      <w:tr w:rsidR="26C37AB1" w14:paraId="6B2F2AF3" w14:textId="77777777" w:rsidTr="26C37AB1">
        <w:trPr>
          <w:trHeight w:val="432"/>
          <w:jc w:val="center"/>
        </w:trPr>
        <w:tc>
          <w:tcPr>
            <w:tcW w:w="1948" w:type="dxa"/>
            <w:vAlign w:val="center"/>
            <w:hideMark/>
          </w:tcPr>
          <w:p w14:paraId="0FB5CEF2" w14:textId="2DBADA6C" w:rsidR="26C37AB1" w:rsidRDefault="26C37AB1" w:rsidP="26C37AB1">
            <w:pPr>
              <w:pStyle w:val="NoSpacing"/>
              <w:ind w:firstLine="0"/>
              <w:jc w:val="center"/>
            </w:pPr>
            <w:r>
              <w:t>Micromovilitad</w:t>
            </w:r>
          </w:p>
        </w:tc>
        <w:tc>
          <w:tcPr>
            <w:tcW w:w="2564" w:type="dxa"/>
            <w:vAlign w:val="center"/>
            <w:hideMark/>
          </w:tcPr>
          <w:p w14:paraId="7F6367D4" w14:textId="0DBCB7A6" w:rsidR="26C37AB1" w:rsidRDefault="26C37AB1" w:rsidP="26C37AB1">
            <w:pPr>
              <w:pStyle w:val="NoSpacing"/>
              <w:ind w:firstLine="0"/>
              <w:jc w:val="center"/>
            </w:pPr>
            <w:r>
              <w:t>ECOMOVE EKKO/S1</w:t>
            </w:r>
          </w:p>
        </w:tc>
      </w:tr>
    </w:tbl>
    <w:p w14:paraId="2A6CCDCF" w14:textId="77777777" w:rsidR="006B6B4D" w:rsidRDefault="006B6B4D" w:rsidP="00252EEA">
      <w:pPr>
        <w:rPr>
          <w:lang w:val="es-EC"/>
        </w:rPr>
      </w:pPr>
    </w:p>
    <w:p w14:paraId="0B297755" w14:textId="4CC90E56" w:rsidR="00252EEA" w:rsidRPr="00252EEA" w:rsidRDefault="00252EEA" w:rsidP="0098046E">
      <w:pPr>
        <w:rPr>
          <w:lang w:val="es-EC"/>
        </w:rPr>
      </w:pPr>
      <w:r w:rsidRPr="00252EEA">
        <w:rPr>
          <w:lang w:val="es-EC"/>
        </w:rPr>
        <w:t xml:space="preserve">A partir de esta clasificación, se definió un </w:t>
      </w:r>
      <w:r w:rsidRPr="00252EEA">
        <w:rPr>
          <w:b/>
          <w:bCs/>
          <w:lang w:val="es-EC"/>
        </w:rPr>
        <w:t>Perfil de Actividad Diario específico para cada tipo de vehículo</w:t>
      </w:r>
      <w:r w:rsidRPr="00252EEA">
        <w:rPr>
          <w:lang w:val="es-EC"/>
        </w:rPr>
        <w:t xml:space="preserve">, con el objetivo de capturar patrones reales de uso </w:t>
      </w:r>
      <w:r w:rsidR="0074700E">
        <w:rPr>
          <w:lang w:val="es-EC"/>
        </w:rPr>
        <w:t>de cada isla.</w:t>
      </w:r>
      <w:r w:rsidRPr="00252EEA">
        <w:rPr>
          <w:lang w:val="es-EC"/>
        </w:rPr>
        <w:t xml:space="preserve"> Posteriormente, para escalar estos perfiles a</w:t>
      </w:r>
      <w:r w:rsidR="00762029">
        <w:rPr>
          <w:lang w:val="es-EC"/>
        </w:rPr>
        <w:t xml:space="preserve">l nivel de los escenarios en </w:t>
      </w:r>
      <w:r w:rsidR="00762029" w:rsidRPr="00A434CD">
        <w:rPr>
          <w:lang w:val="es-EC"/>
        </w:rPr>
        <w:t>OSeMOSYS</w:t>
      </w:r>
      <w:r w:rsidRPr="00252EEA">
        <w:rPr>
          <w:lang w:val="es-EC"/>
        </w:rPr>
        <w:t>, se aplican porcentajes de participación de cada tipo de movilidad en función de los escenarios definidos en el modelo energético, generando así un perfil agregado de demanda vehicular consistente para cada escenario.</w:t>
      </w:r>
    </w:p>
    <w:p w14:paraId="50D3BDC0" w14:textId="77777777" w:rsidR="00252EEA" w:rsidRPr="00252EEA" w:rsidRDefault="00252EEA" w:rsidP="0060075F">
      <w:pPr>
        <w:rPr>
          <w:lang w:val="es-EC"/>
        </w:rPr>
      </w:pPr>
      <w:r w:rsidRPr="00252EEA">
        <w:rPr>
          <w:lang w:val="es-EC"/>
        </w:rPr>
        <w:t>Las categorías operativas se estructuran de la siguiente manera:</w:t>
      </w:r>
    </w:p>
    <w:p w14:paraId="70A79CA1" w14:textId="73F78ACE" w:rsidR="0060075F" w:rsidRPr="0060075F" w:rsidRDefault="00252EEA" w:rsidP="0060075F">
      <w:pPr>
        <w:pStyle w:val="ListParagraph"/>
        <w:numPr>
          <w:ilvl w:val="0"/>
          <w:numId w:val="5"/>
        </w:numPr>
        <w:rPr>
          <w:b/>
          <w:bCs/>
          <w:lang w:val="es-EC"/>
        </w:rPr>
      </w:pPr>
      <w:r w:rsidRPr="0060075F">
        <w:rPr>
          <w:b/>
          <w:bCs/>
          <w:lang w:val="es-EC"/>
        </w:rPr>
        <w:t>Particular (SUV/Auto):</w:t>
      </w:r>
      <w:r w:rsidR="00B664F4" w:rsidRPr="0060075F">
        <w:rPr>
          <w:lang w:val="es-EC"/>
        </w:rPr>
        <w:t xml:space="preserve"> </w:t>
      </w:r>
      <w:r w:rsidRPr="0060075F">
        <w:rPr>
          <w:lang w:val="es-EC"/>
        </w:rPr>
        <w:t>Uso típico domiciliario</w:t>
      </w:r>
      <w:r w:rsidR="0060075F">
        <w:rPr>
          <w:lang w:val="es-EC"/>
        </w:rPr>
        <w:t xml:space="preserve"> y </w:t>
      </w:r>
      <w:r w:rsidRPr="0060075F">
        <w:rPr>
          <w:lang w:val="es-EC"/>
        </w:rPr>
        <w:t xml:space="preserve">laboral con picos en la mañana y noche; baja actividad al mediodía. </w:t>
      </w:r>
    </w:p>
    <w:p w14:paraId="3F6F3427" w14:textId="77777777" w:rsidR="006C7E22" w:rsidRPr="006C7E22" w:rsidRDefault="00252EEA" w:rsidP="006C7E22">
      <w:pPr>
        <w:pStyle w:val="ListParagraph"/>
        <w:numPr>
          <w:ilvl w:val="0"/>
          <w:numId w:val="5"/>
        </w:numPr>
        <w:rPr>
          <w:b/>
          <w:bCs/>
          <w:lang w:val="es-EC"/>
        </w:rPr>
      </w:pPr>
      <w:r w:rsidRPr="0060075F">
        <w:rPr>
          <w:b/>
          <w:bCs/>
          <w:lang w:val="es-EC"/>
        </w:rPr>
        <w:lastRenderedPageBreak/>
        <w:t>Pickup / camionetas / transporte ligero:</w:t>
      </w:r>
      <w:r w:rsidR="0060075F" w:rsidRPr="0060075F">
        <w:rPr>
          <w:lang w:val="es-EC"/>
        </w:rPr>
        <w:t xml:space="preserve"> </w:t>
      </w:r>
      <w:r w:rsidRPr="0060075F">
        <w:rPr>
          <w:lang w:val="es-EC"/>
        </w:rPr>
        <w:t xml:space="preserve">Asociadas al transporte hacia aeropuertos y zonas turísticas. Presentan actividad constante durante el día y alto kilometraje, siendo críticas en la transición energética. </w:t>
      </w:r>
    </w:p>
    <w:p w14:paraId="66F5A158" w14:textId="77777777" w:rsidR="009214EB" w:rsidRPr="009214EB" w:rsidRDefault="00252EEA" w:rsidP="009214EB">
      <w:pPr>
        <w:pStyle w:val="ListParagraph"/>
        <w:numPr>
          <w:ilvl w:val="0"/>
          <w:numId w:val="5"/>
        </w:numPr>
        <w:rPr>
          <w:b/>
          <w:bCs/>
          <w:lang w:val="es-EC"/>
        </w:rPr>
      </w:pPr>
      <w:r w:rsidRPr="006C7E22">
        <w:rPr>
          <w:b/>
          <w:bCs/>
          <w:lang w:val="es-EC"/>
        </w:rPr>
        <w:t>Bus (turismo):</w:t>
      </w:r>
      <w:r w:rsidR="0060075F" w:rsidRPr="006C7E22">
        <w:rPr>
          <w:lang w:val="es-EC"/>
        </w:rPr>
        <w:t xml:space="preserve"> </w:t>
      </w:r>
      <w:r w:rsidRPr="006C7E22">
        <w:rPr>
          <w:lang w:val="es-EC"/>
        </w:rPr>
        <w:t xml:space="preserve">Operación en rutas fijas con horarios definidos. Incluyen paradas prolongadas que permiten estrategias de carga programada. Constituyen un eje estratégico de descarbonización. </w:t>
      </w:r>
    </w:p>
    <w:p w14:paraId="04AD27C0" w14:textId="3085227D" w:rsidR="009214EB" w:rsidRPr="00AF674B" w:rsidRDefault="00252EEA" w:rsidP="009214EB">
      <w:pPr>
        <w:pStyle w:val="ListParagraph"/>
        <w:numPr>
          <w:ilvl w:val="0"/>
          <w:numId w:val="5"/>
        </w:numPr>
        <w:rPr>
          <w:b/>
          <w:bCs/>
          <w:lang w:val="es-EC"/>
        </w:rPr>
      </w:pPr>
      <w:r w:rsidRPr="009214EB">
        <w:rPr>
          <w:b/>
          <w:bCs/>
          <w:lang w:val="es-EC"/>
        </w:rPr>
        <w:t xml:space="preserve">Camiones </w:t>
      </w:r>
      <w:r w:rsidR="00067DA6">
        <w:rPr>
          <w:b/>
          <w:bCs/>
          <w:lang w:val="es-EC"/>
        </w:rPr>
        <w:t>y</w:t>
      </w:r>
      <w:r w:rsidRPr="009214EB">
        <w:rPr>
          <w:b/>
          <w:bCs/>
          <w:lang w:val="es-EC"/>
        </w:rPr>
        <w:t xml:space="preserve"> transporte pesado:</w:t>
      </w:r>
      <w:r w:rsidR="0060075F" w:rsidRPr="009214EB">
        <w:rPr>
          <w:lang w:val="es-EC"/>
        </w:rPr>
        <w:t xml:space="preserve"> </w:t>
      </w:r>
      <w:r w:rsidRPr="009214EB">
        <w:rPr>
          <w:lang w:val="es-EC"/>
        </w:rPr>
        <w:t xml:space="preserve">Uso intensivo diurno enfocado en logística y distribución desde puertos hacia centros poblados. </w:t>
      </w:r>
    </w:p>
    <w:p w14:paraId="56B14132" w14:textId="635F4F4E" w:rsidR="00AF674B" w:rsidRPr="00AF674B" w:rsidRDefault="00AF674B" w:rsidP="00AF674B">
      <w:pPr>
        <w:pStyle w:val="ListParagraph"/>
        <w:numPr>
          <w:ilvl w:val="0"/>
          <w:numId w:val="5"/>
        </w:numPr>
        <w:rPr>
          <w:b/>
          <w:bCs/>
          <w:lang w:val="es-EC"/>
        </w:rPr>
      </w:pPr>
      <w:r>
        <w:rPr>
          <w:b/>
          <w:bCs/>
          <w:lang w:val="es-EC"/>
        </w:rPr>
        <w:t>Motocicleta</w:t>
      </w:r>
      <w:r w:rsidRPr="009214EB">
        <w:rPr>
          <w:b/>
          <w:bCs/>
          <w:lang w:val="es-EC"/>
        </w:rPr>
        <w:t>:</w:t>
      </w:r>
      <w:r w:rsidRPr="009214EB">
        <w:rPr>
          <w:lang w:val="es-EC"/>
        </w:rPr>
        <w:t xml:space="preserve"> </w:t>
      </w:r>
      <w:r w:rsidR="00711E01">
        <w:rPr>
          <w:lang w:val="es-EC"/>
        </w:rPr>
        <w:t>U</w:t>
      </w:r>
      <w:r w:rsidR="00711E01" w:rsidRPr="00711E01">
        <w:rPr>
          <w:lang w:val="es-EC"/>
        </w:rPr>
        <w:t>tilizado principalmente para desplazamientos personales de corta y media distancia</w:t>
      </w:r>
      <w:r w:rsidRPr="009214EB">
        <w:rPr>
          <w:lang w:val="es-EC"/>
        </w:rPr>
        <w:t xml:space="preserve">. </w:t>
      </w:r>
    </w:p>
    <w:p w14:paraId="3E55EBF6" w14:textId="51A24943" w:rsidR="005A2A37" w:rsidRPr="00767F22" w:rsidRDefault="00252EEA" w:rsidP="00767F22">
      <w:pPr>
        <w:pStyle w:val="ListParagraph"/>
        <w:numPr>
          <w:ilvl w:val="0"/>
          <w:numId w:val="5"/>
        </w:numPr>
        <w:rPr>
          <w:b/>
          <w:bCs/>
          <w:lang w:val="es-EC"/>
        </w:rPr>
      </w:pPr>
      <w:r w:rsidRPr="009214EB">
        <w:rPr>
          <w:b/>
          <w:bCs/>
          <w:lang w:val="es-EC"/>
        </w:rPr>
        <w:t>Micromovilidad (motos/scooters):</w:t>
      </w:r>
      <w:r w:rsidR="0060075F" w:rsidRPr="009214EB">
        <w:rPr>
          <w:lang w:val="es-EC"/>
        </w:rPr>
        <w:t xml:space="preserve"> </w:t>
      </w:r>
      <w:r w:rsidRPr="009214EB">
        <w:rPr>
          <w:lang w:val="es-EC"/>
        </w:rPr>
        <w:t xml:space="preserve">Alta frecuencia de viajes cortos en zonas urbanas. </w:t>
      </w:r>
    </w:p>
    <w:p w14:paraId="1AFD4C99" w14:textId="77777777" w:rsidR="00DF63C8" w:rsidRPr="00304537" w:rsidRDefault="00DF63C8" w:rsidP="00DF63C8">
      <w:pPr>
        <w:pStyle w:val="Heading2"/>
        <w:rPr>
          <w:lang w:val="es-EC"/>
        </w:rPr>
      </w:pPr>
      <w:r w:rsidRPr="00304537">
        <w:rPr>
          <w:lang w:val="es-EC"/>
        </w:rPr>
        <w:t>Perfil de Actividad Diario</w:t>
      </w:r>
    </w:p>
    <w:p w14:paraId="027037AB" w14:textId="4C560312" w:rsidR="00DF63C8" w:rsidRDefault="00DF63C8" w:rsidP="00DF63C8">
      <w:pPr>
        <w:ind w:firstLine="0"/>
        <w:rPr>
          <w:lang w:val="es-EC"/>
        </w:rPr>
      </w:pPr>
      <w:r w:rsidRPr="005A2A37">
        <w:rPr>
          <w:lang w:val="es-EC"/>
        </w:rPr>
        <w:t>El análisis se desarrolla inicialmente sobre la categoría Pickup/camionetas</w:t>
      </w:r>
      <w:r w:rsidR="00862DC6">
        <w:rPr>
          <w:lang w:val="es-EC"/>
        </w:rPr>
        <w:t xml:space="preserve"> y dentro de la isla Santa Cruz</w:t>
      </w:r>
      <w:r w:rsidRPr="005A2A37">
        <w:rPr>
          <w:lang w:val="es-EC"/>
        </w:rPr>
        <w:t>, debido a su relevancia en términos de demanda energética diaria y su rol funcional dentro del sistema de transporte insular.</w:t>
      </w:r>
      <w:r>
        <w:rPr>
          <w:lang w:val="es-EC"/>
        </w:rPr>
        <w:t xml:space="preserve"> El perfil de actividad diario se define de acuerdo con las actividades que hace cada tipo de vehículo, en cada isla, se muestra el de la camioneta:</w:t>
      </w:r>
    </w:p>
    <w:p w14:paraId="2614436F" w14:textId="2F7D5698" w:rsidR="00DF63C8" w:rsidRPr="00767F22" w:rsidRDefault="00DF63C8" w:rsidP="00DF63C8">
      <w:pPr>
        <w:ind w:firstLine="0"/>
        <w:jc w:val="center"/>
        <w:rPr>
          <w:i/>
          <w:iCs/>
          <w:lang w:val="es-EC"/>
        </w:rPr>
      </w:pPr>
      <w:r w:rsidRPr="00142292">
        <w:rPr>
          <w:b/>
          <w:bCs/>
          <w:i/>
          <w:iCs/>
          <w:lang w:val="es-EC"/>
        </w:rPr>
        <w:t xml:space="preserve">Tabla </w:t>
      </w:r>
      <w:r>
        <w:rPr>
          <w:b/>
          <w:bCs/>
          <w:i/>
          <w:iCs/>
          <w:lang w:val="es-EC"/>
        </w:rPr>
        <w:t>2</w:t>
      </w:r>
      <w:r w:rsidRPr="00142292">
        <w:rPr>
          <w:b/>
          <w:bCs/>
          <w:i/>
          <w:iCs/>
          <w:lang w:val="es-EC"/>
        </w:rPr>
        <w:t>.</w:t>
      </w:r>
      <w:r w:rsidRPr="00142292">
        <w:rPr>
          <w:i/>
          <w:iCs/>
          <w:lang w:val="es-EC"/>
        </w:rPr>
        <w:t xml:space="preserve"> </w:t>
      </w:r>
      <w:r>
        <w:rPr>
          <w:i/>
          <w:iCs/>
          <w:lang w:val="es-EC"/>
        </w:rPr>
        <w:t xml:space="preserve">Perfil de actividad diario de la </w:t>
      </w:r>
      <w:r w:rsidR="00AE38B4">
        <w:rPr>
          <w:i/>
          <w:iCs/>
          <w:lang w:val="es-EC"/>
        </w:rPr>
        <w:t>Pickup</w:t>
      </w:r>
    </w:p>
    <w:tbl>
      <w:tblPr>
        <w:tblStyle w:val="TableGrid"/>
        <w:tblW w:w="9265" w:type="dxa"/>
        <w:jc w:val="center"/>
        <w:tblLook w:val="04A0" w:firstRow="1" w:lastRow="0" w:firstColumn="1" w:lastColumn="0" w:noHBand="0" w:noVBand="1"/>
      </w:tblPr>
      <w:tblGrid>
        <w:gridCol w:w="706"/>
        <w:gridCol w:w="705"/>
        <w:gridCol w:w="1057"/>
        <w:gridCol w:w="1076"/>
        <w:gridCol w:w="1520"/>
        <w:gridCol w:w="4286"/>
      </w:tblGrid>
      <w:tr w:rsidR="00DF63C8" w:rsidRPr="00584FC6" w14:paraId="110C18D8" w14:textId="77777777" w:rsidTr="00EA75E5">
        <w:trPr>
          <w:trHeight w:val="288"/>
          <w:jc w:val="center"/>
        </w:trPr>
        <w:tc>
          <w:tcPr>
            <w:tcW w:w="720" w:type="dxa"/>
            <w:noWrap/>
            <w:hideMark/>
          </w:tcPr>
          <w:p w14:paraId="726BC886"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Start time</w:t>
            </w:r>
          </w:p>
        </w:tc>
        <w:tc>
          <w:tcPr>
            <w:tcW w:w="720" w:type="dxa"/>
            <w:noWrap/>
            <w:hideMark/>
          </w:tcPr>
          <w:p w14:paraId="2BF8AD4C"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End time</w:t>
            </w:r>
          </w:p>
        </w:tc>
        <w:tc>
          <w:tcPr>
            <w:tcW w:w="753" w:type="dxa"/>
            <w:noWrap/>
            <w:hideMark/>
          </w:tcPr>
          <w:p w14:paraId="7E1D16BF"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Place</w:t>
            </w:r>
          </w:p>
        </w:tc>
        <w:tc>
          <w:tcPr>
            <w:tcW w:w="1102" w:type="dxa"/>
            <w:noWrap/>
            <w:hideMark/>
          </w:tcPr>
          <w:p w14:paraId="3CFE8AEF"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Road</w:t>
            </w:r>
          </w:p>
        </w:tc>
        <w:tc>
          <w:tcPr>
            <w:tcW w:w="1560" w:type="dxa"/>
            <w:noWrap/>
            <w:hideMark/>
          </w:tcPr>
          <w:p w14:paraId="0C24BBE2"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 xml:space="preserve">Elevation Profile </w:t>
            </w:r>
          </w:p>
        </w:tc>
        <w:tc>
          <w:tcPr>
            <w:tcW w:w="4410" w:type="dxa"/>
            <w:noWrap/>
            <w:hideMark/>
          </w:tcPr>
          <w:p w14:paraId="78488465" w14:textId="77777777" w:rsidR="00DF63C8" w:rsidRPr="00584FC6" w:rsidRDefault="00DF63C8" w:rsidP="00EA75E5">
            <w:pPr>
              <w:spacing w:line="240" w:lineRule="auto"/>
              <w:ind w:firstLine="0"/>
              <w:jc w:val="left"/>
              <w:rPr>
                <w:rFonts w:ascii="Aptos Narrow" w:eastAsia="Times New Roman" w:hAnsi="Aptos Narrow" w:cs="Times New Roman"/>
                <w:b/>
                <w:bCs/>
                <w:color w:val="000000"/>
                <w:kern w:val="0"/>
                <w:sz w:val="20"/>
                <w:szCs w:val="20"/>
                <w14:ligatures w14:val="none"/>
              </w:rPr>
            </w:pPr>
            <w:r w:rsidRPr="00584FC6">
              <w:rPr>
                <w:rFonts w:ascii="Aptos Narrow" w:eastAsia="Times New Roman" w:hAnsi="Aptos Narrow" w:cs="Times New Roman"/>
                <w:b/>
                <w:bCs/>
                <w:color w:val="000000"/>
                <w:kern w:val="0"/>
                <w:sz w:val="20"/>
                <w:szCs w:val="20"/>
                <w14:ligatures w14:val="none"/>
              </w:rPr>
              <w:t>Explanation</w:t>
            </w:r>
          </w:p>
        </w:tc>
      </w:tr>
      <w:tr w:rsidR="00DF63C8" w:rsidRPr="009C2649" w14:paraId="11B7DD21" w14:textId="77777777" w:rsidTr="00EA75E5">
        <w:trPr>
          <w:trHeight w:val="288"/>
          <w:jc w:val="center"/>
        </w:trPr>
        <w:tc>
          <w:tcPr>
            <w:tcW w:w="720" w:type="dxa"/>
            <w:noWrap/>
            <w:hideMark/>
          </w:tcPr>
          <w:p w14:paraId="1821DD94"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6:00</w:t>
            </w:r>
          </w:p>
        </w:tc>
        <w:tc>
          <w:tcPr>
            <w:tcW w:w="720" w:type="dxa"/>
            <w:noWrap/>
            <w:hideMark/>
          </w:tcPr>
          <w:p w14:paraId="663E38B3"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8:00</w:t>
            </w:r>
          </w:p>
        </w:tc>
        <w:tc>
          <w:tcPr>
            <w:tcW w:w="753" w:type="dxa"/>
            <w:noWrap/>
            <w:hideMark/>
          </w:tcPr>
          <w:p w14:paraId="7C12253B"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Urban</w:t>
            </w:r>
          </w:p>
        </w:tc>
        <w:tc>
          <w:tcPr>
            <w:tcW w:w="1102" w:type="dxa"/>
            <w:noWrap/>
            <w:hideMark/>
          </w:tcPr>
          <w:p w14:paraId="5F2B5273"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1C06F619"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521BDB46"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Servicio de taxi dentro del puerto</w:t>
            </w:r>
          </w:p>
        </w:tc>
      </w:tr>
      <w:tr w:rsidR="00DF63C8" w:rsidRPr="009C2649" w14:paraId="781CF372" w14:textId="77777777" w:rsidTr="00EA75E5">
        <w:trPr>
          <w:trHeight w:val="288"/>
          <w:jc w:val="center"/>
        </w:trPr>
        <w:tc>
          <w:tcPr>
            <w:tcW w:w="720" w:type="dxa"/>
            <w:noWrap/>
            <w:hideMark/>
          </w:tcPr>
          <w:p w14:paraId="55AB0684"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8:00</w:t>
            </w:r>
          </w:p>
        </w:tc>
        <w:tc>
          <w:tcPr>
            <w:tcW w:w="720" w:type="dxa"/>
            <w:noWrap/>
            <w:hideMark/>
          </w:tcPr>
          <w:p w14:paraId="1D25D364"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8:30</w:t>
            </w:r>
          </w:p>
        </w:tc>
        <w:tc>
          <w:tcPr>
            <w:tcW w:w="753" w:type="dxa"/>
            <w:noWrap/>
            <w:hideMark/>
          </w:tcPr>
          <w:p w14:paraId="4F2B6A36"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Urban</w:t>
            </w:r>
          </w:p>
        </w:tc>
        <w:tc>
          <w:tcPr>
            <w:tcW w:w="1102" w:type="dxa"/>
            <w:noWrap/>
            <w:hideMark/>
          </w:tcPr>
          <w:p w14:paraId="4F966D03"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58E0EC4C"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47D60224"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Recogida de turistas en hoteles</w:t>
            </w:r>
          </w:p>
        </w:tc>
      </w:tr>
      <w:tr w:rsidR="00DF63C8" w:rsidRPr="009C2649" w14:paraId="1E94D0F2" w14:textId="77777777" w:rsidTr="00EA75E5">
        <w:trPr>
          <w:trHeight w:val="288"/>
          <w:jc w:val="center"/>
        </w:trPr>
        <w:tc>
          <w:tcPr>
            <w:tcW w:w="720" w:type="dxa"/>
            <w:noWrap/>
            <w:hideMark/>
          </w:tcPr>
          <w:p w14:paraId="09B44A7D"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8:30</w:t>
            </w:r>
          </w:p>
        </w:tc>
        <w:tc>
          <w:tcPr>
            <w:tcW w:w="720" w:type="dxa"/>
            <w:noWrap/>
            <w:hideMark/>
          </w:tcPr>
          <w:p w14:paraId="649A4A71"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9:15</w:t>
            </w:r>
          </w:p>
        </w:tc>
        <w:tc>
          <w:tcPr>
            <w:tcW w:w="753" w:type="dxa"/>
            <w:noWrap/>
            <w:hideMark/>
          </w:tcPr>
          <w:p w14:paraId="0E26B143"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commentRangeStart w:id="0"/>
            <w:r w:rsidRPr="00584FC6">
              <w:rPr>
                <w:rFonts w:ascii="Aptos Narrow" w:eastAsia="Times New Roman" w:hAnsi="Aptos Narrow" w:cs="Times New Roman"/>
                <w:color w:val="000000"/>
                <w:kern w:val="0"/>
                <w:sz w:val="20"/>
                <w:szCs w:val="20"/>
                <w14:ligatures w14:val="none"/>
              </w:rPr>
              <w:t>Rural</w:t>
            </w:r>
            <w:commentRangeEnd w:id="0"/>
            <w:r w:rsidR="00B6410D" w:rsidRPr="00584FC6">
              <w:rPr>
                <w:rStyle w:val="CommentReference"/>
                <w:rFonts w:ascii="Aptos Narrow" w:eastAsia="Times New Roman" w:hAnsi="Aptos Narrow" w:cs="Times New Roman"/>
                <w:color w:val="000000"/>
                <w:kern w:val="0"/>
                <w:sz w:val="20"/>
                <w:szCs w:val="20"/>
                <w14:ligatures w14:val="none"/>
              </w:rPr>
              <w:commentReference w:id="0"/>
            </w:r>
          </w:p>
        </w:tc>
        <w:tc>
          <w:tcPr>
            <w:tcW w:w="1102" w:type="dxa"/>
            <w:noWrap/>
            <w:hideMark/>
          </w:tcPr>
          <w:p w14:paraId="7D6B1381"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0FD83699"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Ayora-Itabaca</w:t>
            </w:r>
          </w:p>
        </w:tc>
        <w:tc>
          <w:tcPr>
            <w:tcW w:w="4410" w:type="dxa"/>
            <w:noWrap/>
            <w:hideMark/>
          </w:tcPr>
          <w:p w14:paraId="74B3536F"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Trayecto al Canal de Itabaca</w:t>
            </w:r>
          </w:p>
        </w:tc>
      </w:tr>
      <w:tr w:rsidR="00DF63C8" w:rsidRPr="009C2649" w14:paraId="260EBE2E" w14:textId="77777777" w:rsidTr="00EA75E5">
        <w:trPr>
          <w:trHeight w:val="288"/>
          <w:jc w:val="center"/>
        </w:trPr>
        <w:tc>
          <w:tcPr>
            <w:tcW w:w="720" w:type="dxa"/>
            <w:noWrap/>
            <w:hideMark/>
          </w:tcPr>
          <w:p w14:paraId="4E20A510"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9:30</w:t>
            </w:r>
          </w:p>
        </w:tc>
        <w:tc>
          <w:tcPr>
            <w:tcW w:w="720" w:type="dxa"/>
            <w:noWrap/>
            <w:hideMark/>
          </w:tcPr>
          <w:p w14:paraId="556925C9"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10:00</w:t>
            </w:r>
          </w:p>
        </w:tc>
        <w:tc>
          <w:tcPr>
            <w:tcW w:w="753" w:type="dxa"/>
            <w:noWrap/>
            <w:hideMark/>
          </w:tcPr>
          <w:p w14:paraId="3DDB7B18"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 xml:space="preserve">Urban </w:t>
            </w:r>
          </w:p>
        </w:tc>
        <w:tc>
          <w:tcPr>
            <w:tcW w:w="1102" w:type="dxa"/>
            <w:noWrap/>
            <w:hideMark/>
          </w:tcPr>
          <w:p w14:paraId="280E10DA"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3EA93976"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7D0E3B88"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Transporte de pasajeros en el puerto</w:t>
            </w:r>
          </w:p>
        </w:tc>
      </w:tr>
      <w:tr w:rsidR="00DF63C8" w:rsidRPr="00584FC6" w14:paraId="2F8C0346" w14:textId="77777777" w:rsidTr="00EA75E5">
        <w:trPr>
          <w:trHeight w:val="288"/>
          <w:jc w:val="center"/>
        </w:trPr>
        <w:tc>
          <w:tcPr>
            <w:tcW w:w="720" w:type="dxa"/>
            <w:noWrap/>
            <w:hideMark/>
          </w:tcPr>
          <w:p w14:paraId="1EA2A23C"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10:15</w:t>
            </w:r>
          </w:p>
        </w:tc>
        <w:tc>
          <w:tcPr>
            <w:tcW w:w="720" w:type="dxa"/>
            <w:noWrap/>
            <w:hideMark/>
          </w:tcPr>
          <w:p w14:paraId="6036A220"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11:30</w:t>
            </w:r>
          </w:p>
        </w:tc>
        <w:tc>
          <w:tcPr>
            <w:tcW w:w="753" w:type="dxa"/>
            <w:noWrap/>
            <w:hideMark/>
          </w:tcPr>
          <w:p w14:paraId="2AF686A9"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Rural</w:t>
            </w:r>
          </w:p>
        </w:tc>
        <w:tc>
          <w:tcPr>
            <w:tcW w:w="1102" w:type="dxa"/>
            <w:noWrap/>
            <w:hideMark/>
          </w:tcPr>
          <w:p w14:paraId="4E98BD7D"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54AA31CF"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Itabaca-Ayora</w:t>
            </w:r>
          </w:p>
        </w:tc>
        <w:tc>
          <w:tcPr>
            <w:tcW w:w="4410" w:type="dxa"/>
            <w:noWrap/>
            <w:hideMark/>
          </w:tcPr>
          <w:p w14:paraId="2045C464"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Retorno Aeropuerto (Carretera)</w:t>
            </w:r>
          </w:p>
        </w:tc>
      </w:tr>
      <w:tr w:rsidR="00DF63C8" w:rsidRPr="009C2649" w14:paraId="766E2301" w14:textId="77777777" w:rsidTr="00EA75E5">
        <w:trPr>
          <w:trHeight w:val="288"/>
          <w:jc w:val="center"/>
        </w:trPr>
        <w:tc>
          <w:tcPr>
            <w:tcW w:w="720" w:type="dxa"/>
            <w:noWrap/>
            <w:hideMark/>
          </w:tcPr>
          <w:p w14:paraId="29667131"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11:30</w:t>
            </w:r>
          </w:p>
        </w:tc>
        <w:tc>
          <w:tcPr>
            <w:tcW w:w="720" w:type="dxa"/>
            <w:noWrap/>
            <w:hideMark/>
          </w:tcPr>
          <w:p w14:paraId="5A1139B1"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12:30</w:t>
            </w:r>
          </w:p>
        </w:tc>
        <w:tc>
          <w:tcPr>
            <w:tcW w:w="753" w:type="dxa"/>
            <w:noWrap/>
            <w:hideMark/>
          </w:tcPr>
          <w:p w14:paraId="61DF33C9"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 xml:space="preserve">Urban </w:t>
            </w:r>
          </w:p>
        </w:tc>
        <w:tc>
          <w:tcPr>
            <w:tcW w:w="1102" w:type="dxa"/>
            <w:noWrap/>
            <w:hideMark/>
          </w:tcPr>
          <w:p w14:paraId="4AD282DB"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08F2E76D"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69A4E83C"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Entrada a Puerto Ayora (Urbano) / dejar pasajeros</w:t>
            </w:r>
          </w:p>
        </w:tc>
      </w:tr>
      <w:tr w:rsidR="00DF63C8" w:rsidRPr="00584FC6" w14:paraId="56916686" w14:textId="77777777" w:rsidTr="00EA75E5">
        <w:trPr>
          <w:trHeight w:val="288"/>
          <w:jc w:val="center"/>
        </w:trPr>
        <w:tc>
          <w:tcPr>
            <w:tcW w:w="720" w:type="dxa"/>
            <w:noWrap/>
            <w:hideMark/>
          </w:tcPr>
          <w:p w14:paraId="7A41DC10"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14:30</w:t>
            </w:r>
          </w:p>
        </w:tc>
        <w:tc>
          <w:tcPr>
            <w:tcW w:w="720" w:type="dxa"/>
            <w:noWrap/>
            <w:hideMark/>
          </w:tcPr>
          <w:p w14:paraId="4BA45802"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15:00</w:t>
            </w:r>
          </w:p>
        </w:tc>
        <w:tc>
          <w:tcPr>
            <w:tcW w:w="753" w:type="dxa"/>
            <w:noWrap/>
            <w:hideMark/>
          </w:tcPr>
          <w:p w14:paraId="7AD12ADA"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Mixed</w:t>
            </w:r>
          </w:p>
        </w:tc>
        <w:tc>
          <w:tcPr>
            <w:tcW w:w="1102" w:type="dxa"/>
            <w:noWrap/>
            <w:hideMark/>
          </w:tcPr>
          <w:p w14:paraId="4565DD23"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6FE16FF0"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Ayora-Cascajo</w:t>
            </w:r>
          </w:p>
        </w:tc>
        <w:tc>
          <w:tcPr>
            <w:tcW w:w="4410" w:type="dxa"/>
            <w:noWrap/>
            <w:hideMark/>
          </w:tcPr>
          <w:p w14:paraId="36903D6E"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Ruta al Cascajo</w:t>
            </w:r>
          </w:p>
        </w:tc>
      </w:tr>
      <w:tr w:rsidR="00DF63C8" w:rsidRPr="00584FC6" w14:paraId="15AFBBF5" w14:textId="77777777" w:rsidTr="00EA75E5">
        <w:trPr>
          <w:trHeight w:val="288"/>
          <w:jc w:val="center"/>
        </w:trPr>
        <w:tc>
          <w:tcPr>
            <w:tcW w:w="720" w:type="dxa"/>
            <w:noWrap/>
            <w:hideMark/>
          </w:tcPr>
          <w:p w14:paraId="2316FA0C"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15:00</w:t>
            </w:r>
          </w:p>
        </w:tc>
        <w:tc>
          <w:tcPr>
            <w:tcW w:w="720" w:type="dxa"/>
            <w:noWrap/>
            <w:hideMark/>
          </w:tcPr>
          <w:p w14:paraId="43837042"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15:30</w:t>
            </w:r>
          </w:p>
        </w:tc>
        <w:tc>
          <w:tcPr>
            <w:tcW w:w="753" w:type="dxa"/>
            <w:noWrap/>
            <w:hideMark/>
          </w:tcPr>
          <w:p w14:paraId="24765BE9"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Mixed</w:t>
            </w:r>
          </w:p>
        </w:tc>
        <w:tc>
          <w:tcPr>
            <w:tcW w:w="1102" w:type="dxa"/>
            <w:noWrap/>
            <w:hideMark/>
          </w:tcPr>
          <w:p w14:paraId="6BB0BB81"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7616371A"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Cascajo-Ayora</w:t>
            </w:r>
          </w:p>
        </w:tc>
        <w:tc>
          <w:tcPr>
            <w:tcW w:w="4410" w:type="dxa"/>
            <w:noWrap/>
            <w:hideMark/>
          </w:tcPr>
          <w:p w14:paraId="4D4CC85F"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Ruta al Cascajo</w:t>
            </w:r>
          </w:p>
        </w:tc>
      </w:tr>
      <w:tr w:rsidR="00DF63C8" w:rsidRPr="009C2649" w14:paraId="1222F341" w14:textId="77777777" w:rsidTr="00EA75E5">
        <w:trPr>
          <w:trHeight w:val="288"/>
          <w:jc w:val="center"/>
        </w:trPr>
        <w:tc>
          <w:tcPr>
            <w:tcW w:w="720" w:type="dxa"/>
            <w:noWrap/>
            <w:hideMark/>
          </w:tcPr>
          <w:p w14:paraId="11CA5882"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16:30</w:t>
            </w:r>
          </w:p>
        </w:tc>
        <w:tc>
          <w:tcPr>
            <w:tcW w:w="720" w:type="dxa"/>
            <w:noWrap/>
            <w:hideMark/>
          </w:tcPr>
          <w:p w14:paraId="1AB2370A"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18:00</w:t>
            </w:r>
          </w:p>
        </w:tc>
        <w:tc>
          <w:tcPr>
            <w:tcW w:w="753" w:type="dxa"/>
            <w:noWrap/>
            <w:hideMark/>
          </w:tcPr>
          <w:p w14:paraId="41F63CDF"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Mixed</w:t>
            </w:r>
          </w:p>
        </w:tc>
        <w:tc>
          <w:tcPr>
            <w:tcW w:w="1102" w:type="dxa"/>
            <w:noWrap/>
            <w:hideMark/>
          </w:tcPr>
          <w:p w14:paraId="1E8A005E"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Gravel</w:t>
            </w:r>
          </w:p>
        </w:tc>
        <w:tc>
          <w:tcPr>
            <w:tcW w:w="1560" w:type="dxa"/>
            <w:noWrap/>
            <w:hideMark/>
          </w:tcPr>
          <w:p w14:paraId="2F3CE952"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4ECFBA17"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Tours de tarde (El Chato / Rancho Primicias/Playa)</w:t>
            </w:r>
          </w:p>
        </w:tc>
      </w:tr>
      <w:tr w:rsidR="00DF63C8" w:rsidRPr="009C2649" w14:paraId="1892A50D" w14:textId="77777777" w:rsidTr="00EA75E5">
        <w:trPr>
          <w:trHeight w:val="288"/>
          <w:jc w:val="center"/>
        </w:trPr>
        <w:tc>
          <w:tcPr>
            <w:tcW w:w="720" w:type="dxa"/>
            <w:noWrap/>
            <w:hideMark/>
          </w:tcPr>
          <w:p w14:paraId="61DAB17E"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20:00</w:t>
            </w:r>
          </w:p>
        </w:tc>
        <w:tc>
          <w:tcPr>
            <w:tcW w:w="720" w:type="dxa"/>
            <w:noWrap/>
            <w:hideMark/>
          </w:tcPr>
          <w:p w14:paraId="1DD82769" w14:textId="77777777" w:rsidR="00DF63C8" w:rsidRPr="00584FC6" w:rsidRDefault="00DF63C8" w:rsidP="00EA75E5">
            <w:pPr>
              <w:spacing w:line="240" w:lineRule="auto"/>
              <w:ind w:firstLine="0"/>
              <w:jc w:val="righ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21:30</w:t>
            </w:r>
          </w:p>
        </w:tc>
        <w:tc>
          <w:tcPr>
            <w:tcW w:w="753" w:type="dxa"/>
            <w:noWrap/>
            <w:hideMark/>
          </w:tcPr>
          <w:p w14:paraId="086CAB8F"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Urban</w:t>
            </w:r>
          </w:p>
        </w:tc>
        <w:tc>
          <w:tcPr>
            <w:tcW w:w="1102" w:type="dxa"/>
            <w:noWrap/>
            <w:hideMark/>
          </w:tcPr>
          <w:p w14:paraId="4BFE3A35" w14:textId="77777777" w:rsidR="00DF63C8" w:rsidRPr="00584FC6" w:rsidRDefault="00DF63C8" w:rsidP="00EA75E5">
            <w:pPr>
              <w:spacing w:line="240" w:lineRule="auto"/>
              <w:ind w:firstLine="0"/>
              <w:jc w:val="left"/>
              <w:rPr>
                <w:rFonts w:ascii="Aptos Narrow" w:eastAsia="Times New Roman" w:hAnsi="Aptos Narrow" w:cs="Times New Roman"/>
                <w:color w:val="000000"/>
                <w:kern w:val="0"/>
                <w:sz w:val="20"/>
                <w:szCs w:val="20"/>
                <w14:ligatures w14:val="none"/>
              </w:rPr>
            </w:pPr>
            <w:r w:rsidRPr="00584FC6">
              <w:rPr>
                <w:rFonts w:ascii="Aptos Narrow" w:eastAsia="Times New Roman" w:hAnsi="Aptos Narrow" w:cs="Times New Roman"/>
                <w:color w:val="000000"/>
                <w:kern w:val="0"/>
                <w:sz w:val="20"/>
                <w:szCs w:val="20"/>
                <w14:ligatures w14:val="none"/>
              </w:rPr>
              <w:t>Asphalted</w:t>
            </w:r>
          </w:p>
        </w:tc>
        <w:tc>
          <w:tcPr>
            <w:tcW w:w="1560" w:type="dxa"/>
            <w:noWrap/>
            <w:hideMark/>
          </w:tcPr>
          <w:p w14:paraId="730BD200"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14:ligatures w14:val="none"/>
              </w:rPr>
            </w:pPr>
            <w:r w:rsidRPr="00584FC6">
              <w:rPr>
                <w:rFonts w:ascii="Aptos Narrow" w:eastAsia="Times New Roman" w:hAnsi="Aptos Narrow" w:cs="Times New Roman"/>
                <w:kern w:val="0"/>
                <w:sz w:val="20"/>
                <w:szCs w:val="20"/>
                <w14:ligatures w14:val="none"/>
              </w:rPr>
              <w:t>-</w:t>
            </w:r>
          </w:p>
        </w:tc>
        <w:tc>
          <w:tcPr>
            <w:tcW w:w="4410" w:type="dxa"/>
            <w:noWrap/>
            <w:hideMark/>
          </w:tcPr>
          <w:p w14:paraId="27844688" w14:textId="77777777" w:rsidR="00DF63C8" w:rsidRPr="00584FC6" w:rsidRDefault="00DF63C8" w:rsidP="00EA75E5">
            <w:pPr>
              <w:spacing w:line="240" w:lineRule="auto"/>
              <w:ind w:firstLine="0"/>
              <w:jc w:val="left"/>
              <w:rPr>
                <w:rFonts w:ascii="Aptos Narrow" w:eastAsia="Times New Roman" w:hAnsi="Aptos Narrow" w:cs="Times New Roman"/>
                <w:kern w:val="0"/>
                <w:sz w:val="20"/>
                <w:szCs w:val="20"/>
                <w:lang w:val="es-EC"/>
                <w14:ligatures w14:val="none"/>
              </w:rPr>
            </w:pPr>
            <w:r w:rsidRPr="00584FC6">
              <w:rPr>
                <w:rFonts w:ascii="Aptos Narrow" w:eastAsia="Times New Roman" w:hAnsi="Aptos Narrow" w:cs="Times New Roman"/>
                <w:kern w:val="0"/>
                <w:sz w:val="20"/>
                <w:szCs w:val="20"/>
                <w:lang w:val="es-EC"/>
                <w14:ligatures w14:val="none"/>
              </w:rPr>
              <w:t>Logística urbana y transportes finales en la zona</w:t>
            </w:r>
          </w:p>
        </w:tc>
      </w:tr>
    </w:tbl>
    <w:p w14:paraId="4CD2AECD" w14:textId="77777777" w:rsidR="00DF63C8" w:rsidRPr="006031B7" w:rsidRDefault="00DF63C8" w:rsidP="00DF63C8">
      <w:pPr>
        <w:ind w:firstLine="0"/>
        <w:rPr>
          <w:lang w:val="es-EC"/>
        </w:rPr>
      </w:pPr>
    </w:p>
    <w:p w14:paraId="4988C876" w14:textId="6735810A" w:rsidR="00DF63C8" w:rsidRPr="00EA264B" w:rsidRDefault="00DF63C8" w:rsidP="00DF63C8">
      <w:pPr>
        <w:rPr>
          <w:lang w:val="es-EC"/>
        </w:rPr>
      </w:pPr>
      <w:r w:rsidRPr="00EA264B">
        <w:rPr>
          <w:lang w:val="es-EC"/>
        </w:rPr>
        <w:t>Para generar el perfil de actividad diario de cada vehículo, se construyó una secuencia temporal mediante la concatenación de los ciclos de velocidad representativos de cada zona de operación.</w:t>
      </w:r>
      <w:r>
        <w:rPr>
          <w:lang w:val="es-EC"/>
        </w:rPr>
        <w:t xml:space="preserve"> </w:t>
      </w:r>
      <w:r w:rsidR="00AB4A17">
        <w:rPr>
          <w:lang w:val="es-EC"/>
        </w:rPr>
        <w:t>Además,</w:t>
      </w:r>
      <w:r>
        <w:rPr>
          <w:lang w:val="es-EC"/>
        </w:rPr>
        <w:t xml:space="preserve"> se tomó como parámetro de diseño la distancia máxima recorrida por cada vehículo en la isla correspondiente.</w:t>
      </w:r>
    </w:p>
    <w:p w14:paraId="1F7F367A" w14:textId="05C1ECF9" w:rsidR="00DF63C8" w:rsidRDefault="00122188" w:rsidP="00DF63C8">
      <w:pPr>
        <w:ind w:firstLine="0"/>
      </w:pPr>
      <w:r w:rsidRPr="00122188">
        <w:lastRenderedPageBreak/>
        <w:drawing>
          <wp:inline distT="0" distB="0" distL="0" distR="0" wp14:anchorId="7BACC94C" wp14:editId="39EA24C6">
            <wp:extent cx="5943600" cy="2876550"/>
            <wp:effectExtent l="0" t="0" r="0" b="0"/>
            <wp:docPr id="11545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22812" name=""/>
                    <pic:cNvPicPr/>
                  </pic:nvPicPr>
                  <pic:blipFill>
                    <a:blip r:embed="rId12"/>
                    <a:stretch>
                      <a:fillRect/>
                    </a:stretch>
                  </pic:blipFill>
                  <pic:spPr>
                    <a:xfrm>
                      <a:off x="0" y="0"/>
                      <a:ext cx="5943600" cy="2876550"/>
                    </a:xfrm>
                    <a:prstGeom prst="rect">
                      <a:avLst/>
                    </a:prstGeom>
                  </pic:spPr>
                </pic:pic>
              </a:graphicData>
            </a:graphic>
          </wp:inline>
        </w:drawing>
      </w:r>
    </w:p>
    <w:p w14:paraId="4915A104" w14:textId="64D4EE4F" w:rsidR="00DF63C8" w:rsidRPr="00DE7515" w:rsidRDefault="00F41000" w:rsidP="000E7240">
      <w:pPr>
        <w:ind w:firstLine="0"/>
        <w:jc w:val="center"/>
        <w:rPr>
          <w:i/>
          <w:iCs/>
          <w:sz w:val="20"/>
          <w:szCs w:val="22"/>
          <w:lang w:val="es-EC"/>
        </w:rPr>
      </w:pPr>
      <w:r w:rsidRPr="00794FAF">
        <w:rPr>
          <w:b/>
          <w:bCs/>
          <w:i/>
          <w:iCs/>
          <w:lang w:val="es-EC"/>
        </w:rPr>
        <w:t xml:space="preserve">Figure </w:t>
      </w:r>
      <w:r w:rsidR="00822BE9">
        <w:rPr>
          <w:b/>
          <w:bCs/>
          <w:i/>
          <w:iCs/>
          <w:lang w:val="es-EC"/>
        </w:rPr>
        <w:t>1</w:t>
      </w:r>
      <w:r w:rsidRPr="00794FAF">
        <w:rPr>
          <w:b/>
          <w:bCs/>
          <w:i/>
          <w:iCs/>
          <w:lang w:val="es-EC"/>
        </w:rPr>
        <w:t xml:space="preserve">. </w:t>
      </w:r>
      <w:r w:rsidRPr="00794FAF">
        <w:rPr>
          <w:i/>
          <w:iCs/>
          <w:lang w:val="es-EC"/>
        </w:rPr>
        <w:t>Perfil diario de actividad de una pickup</w:t>
      </w:r>
      <w:r w:rsidRPr="00DE7515">
        <w:rPr>
          <w:i/>
          <w:iCs/>
          <w:sz w:val="20"/>
          <w:szCs w:val="22"/>
          <w:lang w:val="es-EC"/>
        </w:rPr>
        <w:t xml:space="preserve">. Variación de la velocidad del vehículo durante una jornada típica de operación en </w:t>
      </w:r>
      <w:r w:rsidR="003509CA">
        <w:rPr>
          <w:i/>
          <w:iCs/>
          <w:sz w:val="20"/>
          <w:szCs w:val="22"/>
          <w:lang w:val="es-EC"/>
        </w:rPr>
        <w:t>la isla Santa Cruz</w:t>
      </w:r>
      <w:r w:rsidRPr="00DE7515">
        <w:rPr>
          <w:i/>
          <w:iCs/>
          <w:sz w:val="20"/>
          <w:szCs w:val="22"/>
          <w:lang w:val="es-EC"/>
        </w:rPr>
        <w:t>. El panel inferior muestra un detalle del período de actividad entre las 14:00 y 17:00 h.</w:t>
      </w:r>
    </w:p>
    <w:p w14:paraId="70DC7898" w14:textId="25316E06" w:rsidR="000F3365" w:rsidRPr="000F3365" w:rsidRDefault="00252EEA" w:rsidP="000F3365">
      <w:pPr>
        <w:rPr>
          <w:lang w:val="es-EC"/>
        </w:rPr>
      </w:pPr>
      <w:r w:rsidRPr="00252EEA">
        <w:rPr>
          <w:lang w:val="es-EC"/>
        </w:rPr>
        <w:t>Una vez definidas las tipologías vehiculares y sus perfiles de actividad, es necesario seleccionar un ciclo de conducción que permita modelar de manera realista el consumo energético asociado. En este sentido, se adopta un ciclo estandarizado que capture condiciones representativas de conducción, como el ciclo WLT</w:t>
      </w:r>
      <w:r w:rsidR="001F4DED">
        <w:rPr>
          <w:lang w:val="es-EC"/>
        </w:rPr>
        <w:t>C</w:t>
      </w:r>
      <w:r w:rsidR="00FD2FBF">
        <w:rPr>
          <w:lang w:val="es-EC"/>
        </w:rPr>
        <w:t xml:space="preserve"> </w:t>
      </w:r>
      <w:r w:rsidR="009A7625">
        <w:rPr>
          <w:lang w:val="es-EC"/>
        </w:rPr>
        <w:t>y WHVC</w:t>
      </w:r>
      <w:r w:rsidRPr="00252EEA">
        <w:rPr>
          <w:lang w:val="es-EC"/>
        </w:rPr>
        <w:t xml:space="preserve">, </w:t>
      </w:r>
      <w:r w:rsidR="009A7625">
        <w:rPr>
          <w:lang w:val="es-EC"/>
        </w:rPr>
        <w:t xml:space="preserve">que se </w:t>
      </w:r>
      <w:r w:rsidRPr="00252EEA">
        <w:rPr>
          <w:lang w:val="es-EC"/>
        </w:rPr>
        <w:t>describe</w:t>
      </w:r>
      <w:r w:rsidR="009A7625">
        <w:rPr>
          <w:lang w:val="es-EC"/>
        </w:rPr>
        <w:t xml:space="preserve">n </w:t>
      </w:r>
      <w:r w:rsidRPr="00252EEA">
        <w:rPr>
          <w:lang w:val="es-EC"/>
        </w:rPr>
        <w:t>a continuació</w:t>
      </w:r>
      <w:r w:rsidR="009A7625">
        <w:rPr>
          <w:lang w:val="es-EC"/>
        </w:rPr>
        <w:t>n.</w:t>
      </w:r>
    </w:p>
    <w:p w14:paraId="014FE3A2" w14:textId="31859F43" w:rsidR="000F3365" w:rsidRPr="00913D70" w:rsidRDefault="000F3365" w:rsidP="000F3365">
      <w:pPr>
        <w:pStyle w:val="Heading2"/>
        <w:rPr>
          <w:iCs/>
          <w:lang w:val="es-EC"/>
        </w:rPr>
      </w:pPr>
      <w:r w:rsidRPr="00913D70">
        <w:rPr>
          <w:iCs/>
          <w:lang w:val="es-EC"/>
        </w:rPr>
        <w:t>Ciclo de conducción</w:t>
      </w:r>
      <w:r w:rsidR="006F7A8A" w:rsidRPr="00913D70">
        <w:rPr>
          <w:iCs/>
          <w:lang w:val="es-EC"/>
        </w:rPr>
        <w:t xml:space="preserve"> estándar</w:t>
      </w:r>
    </w:p>
    <w:p w14:paraId="3F42122C" w14:textId="77777777" w:rsidR="003C290D" w:rsidRDefault="003C290D" w:rsidP="00AA6B0D">
      <w:pPr>
        <w:rPr>
          <w:lang w:val="es-EC"/>
        </w:rPr>
      </w:pPr>
      <w:r w:rsidRPr="00C47944">
        <w:rPr>
          <w:lang w:val="es-EC"/>
        </w:rPr>
        <w:t xml:space="preserve">El </w:t>
      </w:r>
      <w:r w:rsidRPr="00C47944">
        <w:rPr>
          <w:b/>
          <w:bCs/>
          <w:lang w:val="es-EC"/>
        </w:rPr>
        <w:t>Worldwide Harmonized Light Vehicles Test Cycle (WLTC)</w:t>
      </w:r>
      <w:r w:rsidRPr="00C47944">
        <w:rPr>
          <w:lang w:val="es-EC"/>
        </w:rPr>
        <w:t xml:space="preserve">, desarrollado bajo la Comisión Económica para Europa de las Naciones Unidas (UNECE), es el ciclo de conducción estandarizado utilizado dentro del procedimiento </w:t>
      </w:r>
      <w:r w:rsidRPr="00636D87">
        <w:rPr>
          <w:lang w:val="es-EC"/>
        </w:rPr>
        <w:t xml:space="preserve">Worldwide Harmonized Light Vehicles Test Procedure (WLTP) </w:t>
      </w:r>
      <w:r w:rsidRPr="00C47944">
        <w:rPr>
          <w:lang w:val="es-EC"/>
        </w:rPr>
        <w:t>para evaluar el consumo energético y las emisiones vehiculares bajo condiciones que se aproximan mejor a la conducción real en comparación con protocolos anteriores como el New European Driving Cycle (NEDC)</w:t>
      </w:r>
      <w:r>
        <w:rPr>
          <w:lang w:val="es-EC"/>
        </w:rPr>
        <w:t xml:space="preserve"> (</w:t>
      </w:r>
      <w:r w:rsidRPr="00D97009">
        <w:rPr>
          <w:lang w:val="es-EC"/>
        </w:rPr>
        <w:t>(Tsiakmakis et al., 201</w:t>
      </w:r>
      <w:r>
        <w:rPr>
          <w:lang w:val="es-EC"/>
        </w:rPr>
        <w:t xml:space="preserve">7). </w:t>
      </w:r>
    </w:p>
    <w:p w14:paraId="63CA40CF" w14:textId="006E852E" w:rsidR="00267D9C" w:rsidRDefault="00267D9C" w:rsidP="00267D9C">
      <w:pPr>
        <w:rPr>
          <w:lang w:val="es-EC"/>
        </w:rPr>
      </w:pPr>
      <w:r w:rsidRPr="00C47944">
        <w:rPr>
          <w:lang w:val="es-EC"/>
        </w:rPr>
        <w:t xml:space="preserve">A pesar de su estandarización global, la aplicación directa del WLTC en sistemas insulares aislados no siempre representa adecuadamente las condiciones locales de conducción. Por ejemplo, en </w:t>
      </w:r>
      <w:r w:rsidRPr="00C47944">
        <w:rPr>
          <w:b/>
          <w:bCs/>
          <w:lang w:val="es-EC"/>
        </w:rPr>
        <w:t>el estudio de Nuez et al. (2022),</w:t>
      </w:r>
      <w:r w:rsidRPr="00C47944">
        <w:rPr>
          <w:lang w:val="es-EC"/>
        </w:rPr>
        <w:t xml:space="preserve"> se emplearon valores de consumo basados en </w:t>
      </w:r>
      <w:r w:rsidRPr="00C47944">
        <w:rPr>
          <w:b/>
          <w:bCs/>
          <w:lang w:val="es-EC"/>
        </w:rPr>
        <w:t>WLTP</w:t>
      </w:r>
      <w:r w:rsidRPr="00C47944">
        <w:rPr>
          <w:lang w:val="es-EC"/>
        </w:rPr>
        <w:t xml:space="preserve"> para evaluar emisiones vehiculares en </w:t>
      </w:r>
      <w:r w:rsidRPr="00C47944">
        <w:rPr>
          <w:b/>
          <w:bCs/>
          <w:lang w:val="es-EC"/>
        </w:rPr>
        <w:t>las Islas Canarias</w:t>
      </w:r>
      <w:r w:rsidRPr="00C47944">
        <w:rPr>
          <w:lang w:val="es-EC"/>
        </w:rPr>
        <w:t xml:space="preserve">. Los autores indican explícitamente que estos valores fueron utilizados para simplificar el análisis, reconociendo que </w:t>
      </w:r>
      <w:r w:rsidRPr="00C47944">
        <w:rPr>
          <w:lang w:val="es-EC"/>
        </w:rPr>
        <w:lastRenderedPageBreak/>
        <w:t>el consumo energético depende de factores locales como las distancias recorridas, los patrones de conducción y los perfiles de velocidad (Nuez et al., 2022). Esto demuestra que, si bien el WLTC/WLTP no está específicamente diseñado para contextos insulares, ha sido utilizado previamente como un marco de referencia estandarizado en estudios similares para fines comparativos y de modelación</w:t>
      </w:r>
      <w:r>
        <w:rPr>
          <w:lang w:val="es-EC"/>
        </w:rPr>
        <w:t>.</w:t>
      </w:r>
    </w:p>
    <w:p w14:paraId="64C00051" w14:textId="77777777" w:rsidR="003C290D" w:rsidRDefault="003C290D" w:rsidP="00AA6B0D">
      <w:pPr>
        <w:rPr>
          <w:lang w:val="es-EC"/>
        </w:rPr>
      </w:pPr>
      <w:r w:rsidRPr="00C47944">
        <w:rPr>
          <w:lang w:val="es-EC"/>
        </w:rPr>
        <w:t>El WLTC se construye a partir de datos reales de conducción y se divide en cuatro fases: Low, Medium, High y Extra-High, que representan condiciones urbanas, suburbanas y de autopista, respectivamente. Estas fases capturan variaciones en velocidad, aceleración y frecuencia de paradas, permitiendo una representación más realista de la dinámica vehicular y la demanda energética</w:t>
      </w:r>
      <w:r>
        <w:rPr>
          <w:lang w:val="es-EC"/>
        </w:rPr>
        <w:t xml:space="preserve"> </w:t>
      </w:r>
      <w:r w:rsidRPr="00946CF2">
        <w:rPr>
          <w:lang w:val="es-EC"/>
        </w:rPr>
        <w:t>(Tsiakmakis et al., 2017)</w:t>
      </w:r>
      <w:r>
        <w:rPr>
          <w:lang w:val="es-EC"/>
        </w:rPr>
        <w:t>.</w:t>
      </w:r>
    </w:p>
    <w:p w14:paraId="34D91791" w14:textId="77777777" w:rsidR="003C290D" w:rsidRDefault="003C290D" w:rsidP="00B60A42">
      <w:pPr>
        <w:ind w:firstLine="0"/>
        <w:jc w:val="center"/>
        <w:rPr>
          <w:lang w:val="es-EC"/>
        </w:rPr>
      </w:pPr>
      <w:r w:rsidRPr="00297E3B">
        <w:rPr>
          <w:noProof/>
          <w:lang w:val="es-EC"/>
        </w:rPr>
        <w:drawing>
          <wp:inline distT="0" distB="0" distL="0" distR="0" wp14:anchorId="37EE7F52" wp14:editId="2B82CC98">
            <wp:extent cx="4173785" cy="3091543"/>
            <wp:effectExtent l="0" t="0" r="0" b="0"/>
            <wp:docPr id="152536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51838" name=""/>
                    <pic:cNvPicPr/>
                  </pic:nvPicPr>
                  <pic:blipFill>
                    <a:blip r:embed="rId13"/>
                    <a:stretch>
                      <a:fillRect/>
                    </a:stretch>
                  </pic:blipFill>
                  <pic:spPr>
                    <a:xfrm>
                      <a:off x="0" y="0"/>
                      <a:ext cx="4188370" cy="3102346"/>
                    </a:xfrm>
                    <a:prstGeom prst="rect">
                      <a:avLst/>
                    </a:prstGeom>
                  </pic:spPr>
                </pic:pic>
              </a:graphicData>
            </a:graphic>
          </wp:inline>
        </w:drawing>
      </w:r>
    </w:p>
    <w:p w14:paraId="0769DDFC" w14:textId="1862F36B" w:rsidR="003C290D" w:rsidRPr="00C47944" w:rsidRDefault="003C290D" w:rsidP="00AA6B0D">
      <w:pPr>
        <w:rPr>
          <w:lang w:val="es-EC"/>
        </w:rPr>
      </w:pPr>
      <w:r w:rsidRPr="00C47944">
        <w:rPr>
          <w:lang w:val="es-EC"/>
        </w:rPr>
        <w:t xml:space="preserve">Además, el WLTC se clasifica en diferentes categorías (Clase 1–3) según características de desempeño vehicular como la relación potencia-masa y la velocidad máxima. En el contexto de este estudio, los tipos de vehículos se asocian principalmente a la </w:t>
      </w:r>
      <w:r w:rsidRPr="00C47944">
        <w:rPr>
          <w:b/>
          <w:bCs/>
          <w:lang w:val="es-EC"/>
        </w:rPr>
        <w:t>Clase 3</w:t>
      </w:r>
      <w:r w:rsidRPr="00C47944">
        <w:rPr>
          <w:lang w:val="es-EC"/>
        </w:rPr>
        <w:t xml:space="preserve">, los cuales representan los modos de transporte predominantes en las Islas Galápagos </w:t>
      </w:r>
      <w:r>
        <w:rPr>
          <w:lang w:val="es-EC"/>
        </w:rPr>
        <w:t>(</w:t>
      </w:r>
      <w:r w:rsidRPr="00C47944">
        <w:rPr>
          <w:lang w:val="es-EC"/>
        </w:rPr>
        <w:t>European Commission, 2019).</w:t>
      </w:r>
    </w:p>
    <w:p w14:paraId="58F54519" w14:textId="77777777" w:rsidR="003C290D" w:rsidRDefault="003C290D" w:rsidP="00AA6B0D">
      <w:pPr>
        <w:rPr>
          <w:lang w:val="es-EC"/>
        </w:rPr>
      </w:pPr>
      <w:r w:rsidRPr="00C47944">
        <w:rPr>
          <w:lang w:val="es-EC"/>
        </w:rPr>
        <w:t>Dadas las características específicas de las Islas Galápagos</w:t>
      </w:r>
      <w:r>
        <w:rPr>
          <w:lang w:val="es-EC"/>
        </w:rPr>
        <w:t xml:space="preserve">, </w:t>
      </w:r>
      <w:r w:rsidRPr="00C47944">
        <w:rPr>
          <w:lang w:val="es-EC"/>
        </w:rPr>
        <w:t>incluyendo distancias cortas de viaje, ausencia de infraestructura de alta velocidad y límites de velocidad reducidos</w:t>
      </w:r>
      <w:r>
        <w:rPr>
          <w:lang w:val="es-EC"/>
        </w:rPr>
        <w:t xml:space="preserve">, </w:t>
      </w:r>
      <w:r w:rsidRPr="00C47944">
        <w:rPr>
          <w:lang w:val="es-EC"/>
        </w:rPr>
        <w:t xml:space="preserve">el presente trabajo adopta un </w:t>
      </w:r>
      <w:r w:rsidRPr="00C47944">
        <w:rPr>
          <w:b/>
          <w:bCs/>
          <w:lang w:val="es-EC"/>
        </w:rPr>
        <w:t>enfoque modificado del WLTC Clase 3</w:t>
      </w:r>
      <w:r w:rsidRPr="00C47944">
        <w:rPr>
          <w:lang w:val="es-EC"/>
        </w:rPr>
        <w:t xml:space="preserve">. Específicamente, se consideran únicamente las fases </w:t>
      </w:r>
      <w:r w:rsidRPr="00C47944">
        <w:rPr>
          <w:b/>
          <w:bCs/>
          <w:lang w:val="es-EC"/>
        </w:rPr>
        <w:t>Low y Medium</w:t>
      </w:r>
      <w:r w:rsidRPr="00C47944">
        <w:rPr>
          <w:lang w:val="es-EC"/>
        </w:rPr>
        <w:t xml:space="preserve">, ya que corresponden a condiciones de </w:t>
      </w:r>
      <w:r w:rsidRPr="00C47944">
        <w:rPr>
          <w:lang w:val="es-EC"/>
        </w:rPr>
        <w:lastRenderedPageBreak/>
        <w:t xml:space="preserve">conducción </w:t>
      </w:r>
      <w:r w:rsidRPr="00C47944">
        <w:rPr>
          <w:b/>
          <w:bCs/>
          <w:lang w:val="es-EC"/>
        </w:rPr>
        <w:t>urbana y suburbana</w:t>
      </w:r>
      <w:r w:rsidRPr="00C47944">
        <w:rPr>
          <w:lang w:val="es-EC"/>
        </w:rPr>
        <w:t xml:space="preserve">, que dominan los patrones de movilidad en el archipiélago. Las fases High y Extra-High, asociadas a conducción en autopista, se excluyen debido a su falta de representatividad en el contexto local. Adicionalmente, el ciclo se </w:t>
      </w:r>
      <w:r w:rsidRPr="00C47944">
        <w:rPr>
          <w:b/>
          <w:bCs/>
          <w:lang w:val="es-EC"/>
        </w:rPr>
        <w:t>reescala para reflejar las restricciones regulatorias locales</w:t>
      </w:r>
      <w:r w:rsidRPr="00C47944">
        <w:rPr>
          <w:lang w:val="es-EC"/>
        </w:rPr>
        <w:t xml:space="preserve">, ajustando las velocidades máximas a </w:t>
      </w:r>
      <w:r w:rsidRPr="00C47944">
        <w:rPr>
          <w:b/>
          <w:bCs/>
          <w:lang w:val="es-EC"/>
        </w:rPr>
        <w:t>35 km/h en zonas urbanas y 80 km/h en zonas suburbanas</w:t>
      </w:r>
      <w:r w:rsidRPr="00C47944">
        <w:rPr>
          <w:lang w:val="es-EC"/>
        </w:rPr>
        <w:t xml:space="preserve">, en concordancia con las condiciones reales de transporte en las islas. </w:t>
      </w:r>
      <w:r>
        <w:rPr>
          <w:lang w:val="es-EC"/>
        </w:rPr>
        <w:t xml:space="preserve"> </w:t>
      </w:r>
    </w:p>
    <w:p w14:paraId="5468B9BB" w14:textId="77777777" w:rsidR="003C290D" w:rsidRDefault="003C290D" w:rsidP="00B60A42">
      <w:pPr>
        <w:ind w:firstLine="0"/>
        <w:jc w:val="center"/>
        <w:rPr>
          <w:lang w:val="es-EC"/>
        </w:rPr>
      </w:pPr>
      <w:r w:rsidRPr="00F623A4">
        <w:rPr>
          <w:noProof/>
          <w:lang w:val="es-EC"/>
        </w:rPr>
        <w:drawing>
          <wp:inline distT="0" distB="0" distL="0" distR="0" wp14:anchorId="6E801485" wp14:editId="42A01872">
            <wp:extent cx="5943600" cy="3109807"/>
            <wp:effectExtent l="0" t="0" r="0" b="0"/>
            <wp:docPr id="3331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4982" name=""/>
                    <pic:cNvPicPr/>
                  </pic:nvPicPr>
                  <pic:blipFill rotWithShape="1">
                    <a:blip r:embed="rId14"/>
                    <a:srcRect t="6611"/>
                    <a:stretch>
                      <a:fillRect/>
                    </a:stretch>
                  </pic:blipFill>
                  <pic:spPr bwMode="auto">
                    <a:xfrm>
                      <a:off x="0" y="0"/>
                      <a:ext cx="5943600" cy="3109807"/>
                    </a:xfrm>
                    <a:prstGeom prst="rect">
                      <a:avLst/>
                    </a:prstGeom>
                    <a:ln>
                      <a:noFill/>
                    </a:ln>
                    <a:extLst>
                      <a:ext uri="{53640926-AAD7-44D8-BBD7-CCE9431645EC}">
                        <a14:shadowObscured xmlns:a14="http://schemas.microsoft.com/office/drawing/2010/main"/>
                      </a:ext>
                    </a:extLst>
                  </pic:spPr>
                </pic:pic>
              </a:graphicData>
            </a:graphic>
          </wp:inline>
        </w:drawing>
      </w:r>
    </w:p>
    <w:p w14:paraId="50AA191E" w14:textId="48F1C1B0" w:rsidR="003C290D" w:rsidRDefault="003C290D" w:rsidP="00B60A42">
      <w:pPr>
        <w:ind w:firstLine="0"/>
        <w:jc w:val="center"/>
        <w:rPr>
          <w:i/>
          <w:iCs/>
        </w:rPr>
      </w:pPr>
      <w:r w:rsidRPr="00C33AEA">
        <w:rPr>
          <w:b/>
          <w:bCs/>
          <w:i/>
          <w:iCs/>
        </w:rPr>
        <w:t xml:space="preserve">Figure </w:t>
      </w:r>
      <w:r w:rsidR="00822BE9">
        <w:rPr>
          <w:b/>
          <w:bCs/>
          <w:i/>
          <w:iCs/>
        </w:rPr>
        <w:t>3</w:t>
      </w:r>
      <w:r w:rsidRPr="00C33AEA">
        <w:rPr>
          <w:b/>
          <w:bCs/>
          <w:i/>
          <w:iCs/>
        </w:rPr>
        <w:t xml:space="preserve">. </w:t>
      </w:r>
      <w:r w:rsidRPr="00C33AEA">
        <w:rPr>
          <w:i/>
          <w:iCs/>
        </w:rPr>
        <w:t>WLTC Class 3 Cycle Adapted for Galapagos</w:t>
      </w:r>
    </w:p>
    <w:p w14:paraId="2F6E31DA" w14:textId="35F27C85" w:rsidR="007833D1" w:rsidRDefault="00382D13" w:rsidP="007833D1">
      <w:pPr>
        <w:rPr>
          <w:lang w:val="es-EC"/>
        </w:rPr>
      </w:pPr>
      <w:r w:rsidRPr="00382D13">
        <w:rPr>
          <w:lang w:val="es-EC"/>
        </w:rPr>
        <w:t xml:space="preserve">Es importante señalar que el WLTC fue desarrollado y homologado principalmente para vehículos livianos, incluyendo automóviles de pasajeros, SUV, </w:t>
      </w:r>
      <w:r w:rsidR="009A0C9E" w:rsidRPr="00382D13">
        <w:rPr>
          <w:lang w:val="es-EC"/>
        </w:rPr>
        <w:t>camionetas pickups</w:t>
      </w:r>
      <w:r w:rsidRPr="00382D13">
        <w:rPr>
          <w:lang w:val="es-EC"/>
        </w:rPr>
        <w:t xml:space="preserve"> y vehículos comerciales ligeros. Por esta razón, para las categorías de vehículos pesados consideradas en este estudio, específicamente autobuses y camiones, se emplea el ciclo </w:t>
      </w:r>
      <w:r w:rsidRPr="00382D13">
        <w:rPr>
          <w:b/>
          <w:bCs/>
          <w:lang w:val="es-EC"/>
        </w:rPr>
        <w:t>World Harmonized Vehicle Cycle (WHVC)</w:t>
      </w:r>
      <w:r w:rsidRPr="00382D13">
        <w:rPr>
          <w:lang w:val="es-EC"/>
        </w:rPr>
        <w:t>. Este ciclo fue desarrollado para vehículos y motores de servicio pesado, incorporando perfiles de operación más representativos de este tipo de vehículos, caracterizados por mayores masas vehiculares, diferentes capacidades de aceleración y patrones de carga del motor significativamente distintos a los de los vehículos livianos. En consecuencia, la utilización del WHVC permite representar de manera más realista el comportamiento operativo y el consumo energético de autobuses y camiones dentro del sistema de transporte de las Islas Galápagos.</w:t>
      </w:r>
    </w:p>
    <w:p w14:paraId="13CA3FC0" w14:textId="72EDFF75" w:rsidR="00382D13" w:rsidRPr="00382D13" w:rsidRDefault="007833D1" w:rsidP="007833D1">
      <w:pPr>
        <w:rPr>
          <w:lang w:val="es-EC"/>
        </w:rPr>
      </w:pPr>
      <w:r w:rsidRPr="007833D1">
        <w:rPr>
          <w:lang w:val="es-EC"/>
        </w:rPr>
        <w:lastRenderedPageBreak/>
        <w:t>De forma análoga a la adaptación realizada para el WLTC, el ciclo WHVC fue ajustado para reflejar las restricciones de velocidad y las condiciones operativas características del archipiélago, garantizando una mayor representatividad de los patrones locales de movilidad.</w:t>
      </w:r>
    </w:p>
    <w:p w14:paraId="230F1FA0" w14:textId="39AF9F14" w:rsidR="00A1130F" w:rsidRPr="008874FF" w:rsidRDefault="00D8614E" w:rsidP="00A1130F">
      <w:pPr>
        <w:pStyle w:val="Heading2"/>
        <w:rPr>
          <w:lang w:val="es-EC"/>
        </w:rPr>
      </w:pPr>
      <w:r w:rsidRPr="008874FF">
        <w:rPr>
          <w:lang w:val="es-EC"/>
        </w:rPr>
        <w:t>Ciclo de Potencia</w:t>
      </w:r>
    </w:p>
    <w:p w14:paraId="4A7127F3" w14:textId="642A388E" w:rsidR="00DB1DD2" w:rsidRPr="00DB1DD2" w:rsidRDefault="2B5DDBF8" w:rsidP="00DB1DD2">
      <w:pPr>
        <w:rPr>
          <w:lang w:val="es-EC"/>
        </w:rPr>
      </w:pPr>
      <w:r w:rsidRPr="00DB1DD2">
        <w:rPr>
          <w:lang w:val="es-EC"/>
        </w:rPr>
        <w:t xml:space="preserve">Para el cálculo de la potencia requerida </w:t>
      </w:r>
      <w:r w:rsidR="3DB95759">
        <w:rPr>
          <w:lang w:val="es-EC"/>
        </w:rPr>
        <w:t>de los vehículos</w:t>
      </w:r>
      <w:r w:rsidRPr="00DB1DD2">
        <w:rPr>
          <w:lang w:val="es-EC"/>
        </w:rPr>
        <w:t xml:space="preserve"> en las Islas Galápagos, se emplea un modelo de dinámica longitudinal, ampliamente utilizado en la literatura </w:t>
      </w:r>
      <w:r w:rsidR="05079142" w:rsidRPr="00DB1DD2">
        <w:rPr>
          <w:lang w:val="es-EC"/>
        </w:rPr>
        <w:t xml:space="preserve">(4) </w:t>
      </w:r>
      <w:r w:rsidRPr="00DB1DD2">
        <w:rPr>
          <w:lang w:val="es-EC"/>
        </w:rPr>
        <w:t xml:space="preserve">para estimaciones energéticas en transporte eléctrico. La potencia mecánica en las ruedas, </w:t>
      </w:r>
      <m:oMath>
        <m:sSub>
          <m:sSubPr>
            <m:ctrlPr>
              <w:rPr>
                <w:rFonts w:ascii="Cambria Math" w:hAnsi="Cambria Math"/>
              </w:rPr>
            </m:ctrlPr>
          </m:sSubPr>
          <m:e>
            <m:r>
              <w:rPr>
                <w:rFonts w:ascii="Cambria Math" w:hAnsi="Cambria Math"/>
              </w:rPr>
              <m:t>P</m:t>
            </m:r>
          </m:e>
          <m:sub>
            <m:r>
              <w:rPr>
                <w:rFonts w:ascii="Cambria Math" w:hAnsi="Cambria Math"/>
              </w:rPr>
              <m:t>ruedas</m:t>
            </m:r>
          </m:sub>
        </m:sSub>
        <m:r>
          <w:rPr>
            <w:rFonts w:ascii="Cambria Math" w:hAnsi="Cambria Math"/>
            <w:lang w:val="es-EC"/>
          </w:rPr>
          <m:t>(</m:t>
        </m:r>
        <m:r>
          <w:rPr>
            <w:rFonts w:ascii="Cambria Math" w:hAnsi="Cambria Math"/>
          </w:rPr>
          <m:t>t</m:t>
        </m:r>
        <m:r>
          <w:rPr>
            <w:rFonts w:ascii="Cambria Math" w:hAnsi="Cambria Math"/>
            <w:lang w:val="es-EC"/>
          </w:rPr>
          <m:t>)</m:t>
        </m:r>
      </m:oMath>
      <w:r w:rsidRPr="00DB1DD2">
        <w:rPr>
          <w:lang w:val="es-EC"/>
        </w:rPr>
        <w:t>, se define como el producto entre la fuerza total de tracción y la velocidad instantánea del vehículo:</w:t>
      </w:r>
    </w:p>
    <w:p w14:paraId="7216849E" w14:textId="77777777" w:rsidR="00DB1DD2" w:rsidRPr="00DB1DD2" w:rsidRDefault="00123334" w:rsidP="00DB1DD2">
      <m:oMathPara>
        <m:oMath>
          <m:sSub>
            <m:sSubPr>
              <m:ctrlPr>
                <w:rPr>
                  <w:rFonts w:ascii="Cambria Math" w:hAnsi="Cambria Math"/>
                </w:rPr>
              </m:ctrlPr>
            </m:sSubPr>
            <m:e>
              <m:r>
                <w:rPr>
                  <w:rFonts w:ascii="Cambria Math" w:hAnsi="Cambria Math"/>
                </w:rPr>
                <m:t>P</m:t>
              </m:r>
            </m:e>
            <m:sub>
              <m:r>
                <w:rPr>
                  <w:rFonts w:ascii="Cambria Math" w:hAnsi="Cambria Math"/>
                </w:rPr>
                <m:t>ruedas</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(t)⋅v(t)</m:t>
          </m:r>
          <m:r>
            <m:rPr>
              <m:sty m:val="p"/>
            </m:rPr>
            <w:rPr>
              <w:rFonts w:ascii="Cambria Math" w:hAnsi="Cambria Math"/>
            </w:rPr>
            <w:br/>
          </m:r>
        </m:oMath>
      </m:oMathPara>
    </w:p>
    <w:p w14:paraId="64EA9E74" w14:textId="77777777" w:rsidR="00DB1DD2" w:rsidRPr="00DB1DD2" w:rsidRDefault="00DB1DD2" w:rsidP="00DB1DD2">
      <w:pPr>
        <w:rPr>
          <w:lang w:val="es-EC"/>
        </w:rPr>
      </w:pPr>
      <w:r w:rsidRPr="00DB1DD2">
        <w:rPr>
          <w:lang w:val="es-EC"/>
        </w:rPr>
        <w:t xml:space="preserve">donde la fuerza total </w:t>
      </w:r>
      <m:oMath>
        <m:sSub>
          <m:sSubPr>
            <m:ctrlPr>
              <w:rPr>
                <w:rFonts w:ascii="Cambria Math" w:hAnsi="Cambria Math"/>
              </w:rPr>
            </m:ctrlPr>
          </m:sSubPr>
          <m:e>
            <m:r>
              <w:rPr>
                <w:rFonts w:ascii="Cambria Math" w:hAnsi="Cambria Math"/>
              </w:rPr>
              <m:t>F</m:t>
            </m:r>
          </m:e>
          <m:sub>
            <m:r>
              <w:rPr>
                <w:rFonts w:ascii="Cambria Math" w:hAnsi="Cambria Math"/>
              </w:rPr>
              <m:t>total</m:t>
            </m:r>
          </m:sub>
        </m:sSub>
      </m:oMath>
      <w:r w:rsidRPr="00DB1DD2">
        <w:rPr>
          <w:lang w:val="es-EC"/>
        </w:rPr>
        <w:t>corresponde a la suma de las principales resistencias al movimiento:</w:t>
      </w:r>
    </w:p>
    <w:p w14:paraId="17CDA820" w14:textId="102DED54" w:rsidR="00DB1DD2" w:rsidRPr="00DB1DD2" w:rsidRDefault="00123334" w:rsidP="00DB1DD2">
      <m:oMathPara>
        <m:oMath>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roll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aero</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grad</m:t>
              </m:r>
            </m:sub>
          </m:sSub>
          <m:r>
            <m:rPr>
              <m:sty m:val="bi"/>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accel</m:t>
              </m:r>
            </m:sub>
          </m:sSub>
          <m:r>
            <m:rPr>
              <m:sty m:val="p"/>
            </m:rPr>
            <w:rPr>
              <w:rFonts w:ascii="Cambria Math" w:hAnsi="Cambria Math"/>
            </w:rPr>
            <w:br/>
          </m:r>
        </m:oMath>
      </m:oMathPara>
    </w:p>
    <w:p w14:paraId="47B7A140" w14:textId="77777777" w:rsidR="00DB1DD2" w:rsidRPr="00DB1DD2" w:rsidRDefault="00DB1DD2" w:rsidP="00DB1DD2">
      <w:r w:rsidRPr="00DB1DD2">
        <w:rPr>
          <w:lang w:val="es-EC"/>
        </w:rPr>
        <w:t xml:space="preserve">Cada uno de estos términos representa un fenómeno físico relevante en la dinámica vehicular. </w:t>
      </w:r>
      <w:r w:rsidRPr="00DB1DD2">
        <w:t>La resistencia a la rodadura se modela como:</w:t>
      </w:r>
    </w:p>
    <w:p w14:paraId="0EE43A2A" w14:textId="3E83C802" w:rsidR="00CD2D17" w:rsidRPr="00C92FEF" w:rsidRDefault="00123334" w:rsidP="00C92FEF">
      <w:pPr>
        <w:jc w:val="center"/>
      </w:pPr>
      <m:oMathPara>
        <m:oMath>
          <m:sSub>
            <m:sSubPr>
              <m:ctrlPr>
                <w:rPr>
                  <w:rFonts w:ascii="Cambria Math" w:hAnsi="Cambria Math"/>
                </w:rPr>
              </m:ctrlPr>
            </m:sSubPr>
            <m:e>
              <m:r>
                <w:rPr>
                  <w:rFonts w:ascii="Cambria Math" w:hAnsi="Cambria Math"/>
                </w:rPr>
                <m:t>F</m:t>
              </m:r>
            </m:e>
            <m:sub>
              <m:r>
                <w:rPr>
                  <w:rFonts w:ascii="Cambria Math" w:hAnsi="Cambria Math"/>
                </w:rPr>
                <m:t>roll</m:t>
              </m:r>
            </m:sub>
          </m:sSub>
          <m:r>
            <w:rPr>
              <w:rFonts w:ascii="Cambria Math" w:hAnsi="Cambria Math"/>
            </w:rPr>
            <m:t>=-mg</m:t>
          </m:r>
          <m:sSub>
            <m:sSubPr>
              <m:ctrlPr>
                <w:rPr>
                  <w:rFonts w:ascii="Cambria Math" w:hAnsi="Cambria Math"/>
                </w:rPr>
              </m:ctrlPr>
            </m:sSubPr>
            <m:e>
              <m:r>
                <w:rPr>
                  <w:rFonts w:ascii="Cambria Math" w:hAnsi="Cambria Math"/>
                </w:rPr>
                <m:t>f</m:t>
              </m:r>
            </m:e>
            <m:sub>
              <m:r>
                <w:rPr>
                  <w:rFonts w:ascii="Cambria Math" w:hAnsi="Cambria Math"/>
                </w:rPr>
                <m:t>rr</m:t>
              </m:r>
            </m:sub>
          </m:sSub>
          <m:r>
            <w:rPr>
              <w:rFonts w:ascii="Cambria Math" w:hAnsi="Cambria Math"/>
            </w:rPr>
            <m:t>cosα</m:t>
          </m:r>
        </m:oMath>
      </m:oMathPara>
    </w:p>
    <w:p w14:paraId="48102E21" w14:textId="7D866C17" w:rsidR="00DB1DD2" w:rsidRPr="00DB1DD2" w:rsidRDefault="00931E50" w:rsidP="000C75BA">
      <w:pPr>
        <w:rPr>
          <w:lang w:val="es-EC"/>
        </w:rPr>
      </w:pPr>
      <w:r>
        <w:rPr>
          <w:lang w:val="es-EC"/>
        </w:rPr>
        <w:t>M</w:t>
      </w:r>
      <w:r w:rsidR="00DB1DD2" w:rsidRPr="00DB1DD2">
        <w:rPr>
          <w:lang w:val="es-EC"/>
        </w:rPr>
        <w:t>ientras que la resistencia aerodinámica se expresa como:</w:t>
      </w:r>
    </w:p>
    <w:p w14:paraId="2FC685E0" w14:textId="111ACF71" w:rsidR="00DB1DD2" w:rsidRPr="00DB1DD2" w:rsidRDefault="00123334" w:rsidP="6F92B8E9">
      <w:pPr>
        <w:jc w:val="center"/>
      </w:pPr>
      <m:oMathPara>
        <m:oMath>
          <m:sSub>
            <m:sSubPr>
              <m:ctrlPr>
                <w:rPr>
                  <w:rFonts w:ascii="Cambria Math" w:hAnsi="Cambria Math"/>
                </w:rPr>
              </m:ctrlPr>
            </m:sSubPr>
            <m:e>
              <m:r>
                <w:rPr>
                  <w:rFonts w:ascii="Cambria Math" w:hAnsi="Cambria Math"/>
                </w:rPr>
                <m:t>F</m:t>
              </m:r>
            </m:e>
            <m:sub>
              <m:r>
                <w:rPr>
                  <w:rFonts w:ascii="Cambria Math" w:hAnsi="Cambria Math"/>
                </w:rPr>
                <m:t>aero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378BBC7D" w14:textId="0C76BF26" w:rsidR="3C7D621C" w:rsidRDefault="3C7D621C" w:rsidP="6F92B8E9">
      <w:pPr>
        <w:rPr>
          <w:lang w:val="es-EC"/>
        </w:rPr>
      </w:pPr>
      <w:r w:rsidRPr="6F92B8E9">
        <w:rPr>
          <w:lang w:val="es-EC"/>
        </w:rPr>
        <w:t>El peso se expresa como:</w:t>
      </w:r>
    </w:p>
    <w:p w14:paraId="54265661" w14:textId="058DCC96" w:rsidR="6F92B8E9" w:rsidRDefault="00123334" w:rsidP="6F92B8E9">
      <w:pPr>
        <w:jc w:val="center"/>
        <w:rPr>
          <w:lang w:val="es-EC"/>
        </w:rPr>
      </w:pPr>
      <m:oMathPara>
        <m:oMath>
          <m:sSub>
            <m:sSubPr>
              <m:ctrlPr>
                <w:rPr>
                  <w:rFonts w:ascii="Cambria Math" w:hAnsi="Cambria Math"/>
                </w:rPr>
              </m:ctrlPr>
            </m:sSubPr>
            <m:e>
              <m:r>
                <w:rPr>
                  <w:rFonts w:ascii="Cambria Math" w:hAnsi="Cambria Math"/>
                </w:rPr>
                <m:t>F</m:t>
              </m:r>
            </m:e>
            <m:sub>
              <m:r>
                <w:rPr>
                  <w:rFonts w:ascii="Cambria Math" w:hAnsi="Cambria Math"/>
                </w:rPr>
                <m:t>grad</m:t>
              </m:r>
            </m:sub>
          </m:sSub>
          <m:r>
            <w:rPr>
              <w:rFonts w:ascii="Cambria Math" w:hAnsi="Cambria Math"/>
            </w:rPr>
            <m:t> = -mgsinα</m:t>
          </m:r>
        </m:oMath>
      </m:oMathPara>
    </w:p>
    <w:p w14:paraId="6E0AACB4" w14:textId="42B0E09E" w:rsidR="00DB1DD2" w:rsidRPr="00DB1DD2" w:rsidRDefault="00C92FEF" w:rsidP="00C92FEF">
      <w:pPr>
        <w:rPr>
          <w:lang w:val="es-EC"/>
        </w:rPr>
      </w:pPr>
      <w:r>
        <w:rPr>
          <w:lang w:val="es-EC"/>
        </w:rPr>
        <w:t xml:space="preserve">donde </w:t>
      </w:r>
      <w:r w:rsidR="00DB1DD2" w:rsidRPr="00DB1DD2">
        <w:rPr>
          <w:lang w:val="es-EC"/>
        </w:rPr>
        <w:t>y la componente inercial asociada a aceleraciones y desaceleraciones:</w:t>
      </w:r>
    </w:p>
    <w:p w14:paraId="2A90566D" w14:textId="32BF764C" w:rsidR="00DB1DD2" w:rsidRPr="00DB1DD2" w:rsidRDefault="00123334" w:rsidP="00774076">
      <w:pPr>
        <w:tabs>
          <w:tab w:val="left" w:pos="5940"/>
        </w:tabs>
      </w:pPr>
      <m:oMathPara>
        <m:oMath>
          <m:sSub>
            <m:sSubPr>
              <m:ctrlPr>
                <w:rPr>
                  <w:rFonts w:ascii="Cambria Math" w:hAnsi="Cambria Math"/>
                </w:rPr>
              </m:ctrlPr>
            </m:sSubPr>
            <m:e>
              <m:r>
                <w:rPr>
                  <w:rFonts w:ascii="Cambria Math" w:hAnsi="Cambria Math"/>
                </w:rPr>
                <m:t>F</m:t>
              </m:r>
            </m:e>
            <m:sub>
              <m:r>
                <w:rPr>
                  <w:rFonts w:ascii="Cambria Math" w:hAnsi="Cambria Math"/>
                </w:rPr>
                <m:t>accel</m:t>
              </m:r>
            </m:sub>
          </m:sSub>
          <m:r>
            <w:rPr>
              <w:rFonts w:ascii="Cambria Math" w:hAnsi="Cambria Math"/>
            </w:rPr>
            <m:t>=m</m:t>
          </m:r>
          <m:f>
            <m:fPr>
              <m:ctrlPr>
                <w:rPr>
                  <w:rFonts w:ascii="Cambria Math" w:hAnsi="Cambria Math"/>
                </w:rPr>
              </m:ctrlPr>
            </m:fPr>
            <m:num>
              <m:r>
                <w:rPr>
                  <w:rFonts w:ascii="Cambria Math" w:hAnsi="Cambria Math"/>
                </w:rPr>
                <m:t>dv</m:t>
              </m:r>
            </m:num>
            <m:den>
              <m:r>
                <w:rPr>
                  <w:rFonts w:ascii="Cambria Math" w:hAnsi="Cambria Math"/>
                </w:rPr>
                <m:t>dt</m:t>
              </m:r>
            </m:den>
          </m:f>
        </m:oMath>
      </m:oMathPara>
    </w:p>
    <w:p w14:paraId="3A45137B" w14:textId="77777777" w:rsidR="00CD485E" w:rsidRPr="007865ED" w:rsidRDefault="00CD485E" w:rsidP="00CD485E">
      <w:pPr>
        <w:rPr>
          <w:lang w:val="es-EC"/>
        </w:rPr>
      </w:pPr>
      <w:r w:rsidRPr="00CF7154">
        <w:rPr>
          <w:lang w:val="es-EC"/>
        </w:rPr>
        <w:t xml:space="preserve">Para estimar un escenario </w:t>
      </w:r>
      <w:r w:rsidRPr="007865ED">
        <w:rPr>
          <w:lang w:val="es-EC"/>
        </w:rPr>
        <w:t>conservador de operación, la masa total se calcula como la suma de la masa en vacío del vehículo y el 80 % de la carga útil máxima (payload):</w:t>
      </w:r>
    </w:p>
    <w:p w14:paraId="07092350" w14:textId="77777777" w:rsidR="00CD485E" w:rsidRPr="00CF7154" w:rsidRDefault="00CD485E" w:rsidP="00CD485E">
      <w:pPr>
        <w:rPr>
          <w:lang w:val="es-EC"/>
        </w:rPr>
      </w:pPr>
      <m:oMathPara>
        <m:oMath>
          <m:r>
            <w:rPr>
              <w:rFonts w:ascii="Cambria Math" w:hAnsi="Cambria Math"/>
            </w:rPr>
            <w:lastRenderedPageBreak/>
            <m:t>m</m:t>
          </m:r>
          <m:r>
            <w:rPr>
              <w:rFonts w:ascii="Cambria Math" w:hAnsi="Cambria Math"/>
              <w:lang w:val="es-EC"/>
            </w:rPr>
            <m:t>=</m:t>
          </m:r>
          <m:sSub>
            <m:sSubPr>
              <m:ctrlPr>
                <w:rPr>
                  <w:rFonts w:ascii="Cambria Math" w:hAnsi="Cambria Math"/>
                </w:rPr>
              </m:ctrlPr>
            </m:sSubPr>
            <m:e>
              <m:r>
                <w:rPr>
                  <w:rFonts w:ascii="Cambria Math" w:hAnsi="Cambria Math"/>
                </w:rPr>
                <m:t>m</m:t>
              </m:r>
            </m:e>
            <m:sub>
              <m:r>
                <w:rPr>
                  <w:rFonts w:ascii="Cambria Math" w:hAnsi="Cambria Math"/>
                </w:rPr>
                <m:t>vac</m:t>
              </m:r>
              <m:acc>
                <m:accPr>
                  <m:chr m:val="ˊ"/>
                  <m:ctrlPr>
                    <w:rPr>
                      <w:rFonts w:ascii="Cambria Math" w:hAnsi="Cambria Math"/>
                    </w:rPr>
                  </m:ctrlPr>
                </m:accPr>
                <m:e>
                  <m:r>
                    <m:rPr>
                      <m:sty m:val="p"/>
                    </m:rPr>
                    <w:rPr>
                      <w:rFonts w:ascii="Cambria Math" w:hAnsi="Cambria Math"/>
                      <w:lang w:val="es-EC"/>
                    </w:rPr>
                    <m:t>ı</m:t>
                  </m:r>
                </m:e>
              </m:acc>
              <m:r>
                <w:rPr>
                  <w:rFonts w:ascii="Cambria Math" w:hAnsi="Cambria Math"/>
                </w:rPr>
                <m:t>o</m:t>
              </m:r>
            </m:sub>
          </m:sSub>
          <m:r>
            <w:rPr>
              <w:rFonts w:ascii="Cambria Math" w:hAnsi="Cambria Math"/>
              <w:lang w:val="es-EC"/>
            </w:rPr>
            <m:t>+0.8</m:t>
          </m:r>
          <m:r>
            <m:rPr>
              <m:nor/>
            </m:rPr>
            <w:rPr>
              <w:lang w:val="es-EC"/>
            </w:rPr>
            <m:t> </m:t>
          </m:r>
          <m:sSub>
            <m:sSubPr>
              <m:ctrlPr>
                <w:rPr>
                  <w:rFonts w:ascii="Cambria Math" w:hAnsi="Cambria Math"/>
                </w:rPr>
              </m:ctrlPr>
            </m:sSubPr>
            <m:e>
              <m:r>
                <w:rPr>
                  <w:rFonts w:ascii="Cambria Math" w:hAnsi="Cambria Math"/>
                </w:rPr>
                <m:t>m</m:t>
              </m:r>
            </m:e>
            <m:sub>
              <m:r>
                <w:rPr>
                  <w:rFonts w:ascii="Cambria Math" w:hAnsi="Cambria Math"/>
                </w:rPr>
                <m:t>payload</m:t>
              </m:r>
            </m:sub>
          </m:sSub>
        </m:oMath>
      </m:oMathPara>
    </w:p>
    <w:p w14:paraId="046FE1BB" w14:textId="4FC76B21" w:rsidR="00CD485E" w:rsidRPr="009B3188" w:rsidRDefault="00CD485E" w:rsidP="009B3188">
      <w:pPr>
        <w:rPr>
          <w:lang w:val="es-EC"/>
        </w:rPr>
      </w:pPr>
      <w:r w:rsidRPr="00CD485E">
        <w:rPr>
          <w:lang w:val="es-EC"/>
        </w:rPr>
        <w:t xml:space="preserve">donde </w:t>
      </w:r>
      <m:oMath>
        <m:r>
          <w:rPr>
            <w:rFonts w:ascii="Cambria Math" w:hAnsi="Cambria Math"/>
          </w:rPr>
          <m:t>m</m:t>
        </m:r>
      </m:oMath>
      <w:r w:rsidRPr="00CD485E">
        <w:rPr>
          <w:rFonts w:eastAsiaTheme="minorEastAsia"/>
          <w:lang w:val="es-EC"/>
        </w:rPr>
        <w:t xml:space="preserve"> para cada caso</w:t>
      </w:r>
      <w:r>
        <w:rPr>
          <w:rFonts w:eastAsiaTheme="minorEastAsia"/>
          <w:lang w:val="es-EC"/>
        </w:rPr>
        <w:t xml:space="preserve"> </w:t>
      </w:r>
      <w:r w:rsidRPr="00CD485E">
        <w:rPr>
          <w:lang w:val="es-EC"/>
        </w:rPr>
        <w:t>corresponde a la masa total del vehículo</w:t>
      </w:r>
      <w:r w:rsidR="009B3188">
        <w:rPr>
          <w:lang w:val="es-EC"/>
        </w:rPr>
        <w:t>. P</w:t>
      </w:r>
      <w:r w:rsidRPr="009B3188">
        <w:rPr>
          <w:lang w:val="es-EC"/>
        </w:rPr>
        <w:t xml:space="preserve">ara estimar un escenario conservador de operación, la masa total se calcula como la suma de la masa en vacío del vehículo y el </w:t>
      </w:r>
      <w:r w:rsidRPr="00CB4B4D">
        <w:rPr>
          <w:lang w:val="es-EC"/>
        </w:rPr>
        <w:t>80 % de la carga útil máxima (payload):</w:t>
      </w:r>
    </w:p>
    <w:p w14:paraId="54DCEB8B" w14:textId="7DA86265" w:rsidR="00CD485E" w:rsidRDefault="00CD485E" w:rsidP="00CD485E">
      <w:pPr>
        <w:rPr>
          <w:lang w:val="es-EC"/>
        </w:rPr>
      </w:pPr>
      <m:oMathPara>
        <m:oMath>
          <m:r>
            <w:rPr>
              <w:rFonts w:ascii="Cambria Math" w:hAnsi="Cambria Math"/>
            </w:rPr>
            <m:t>m</m:t>
          </m:r>
          <m:r>
            <w:rPr>
              <w:rFonts w:ascii="Cambria Math" w:hAnsi="Cambria Math"/>
              <w:lang w:val="es-EC"/>
            </w:rPr>
            <m:t>=</m:t>
          </m:r>
          <m:sSub>
            <m:sSubPr>
              <m:ctrlPr>
                <w:rPr>
                  <w:rFonts w:ascii="Cambria Math" w:hAnsi="Cambria Math"/>
                </w:rPr>
              </m:ctrlPr>
            </m:sSubPr>
            <m:e>
              <m:r>
                <w:rPr>
                  <w:rFonts w:ascii="Cambria Math" w:hAnsi="Cambria Math"/>
                </w:rPr>
                <m:t>m</m:t>
              </m:r>
            </m:e>
            <m:sub>
              <m:r>
                <w:rPr>
                  <w:rFonts w:ascii="Cambria Math" w:hAnsi="Cambria Math"/>
                </w:rPr>
                <m:t>vac</m:t>
              </m:r>
              <m:acc>
                <m:accPr>
                  <m:chr m:val="ˊ"/>
                  <m:ctrlPr>
                    <w:rPr>
                      <w:rFonts w:ascii="Cambria Math" w:hAnsi="Cambria Math"/>
                    </w:rPr>
                  </m:ctrlPr>
                </m:accPr>
                <m:e>
                  <m:r>
                    <m:rPr>
                      <m:sty m:val="p"/>
                    </m:rPr>
                    <w:rPr>
                      <w:rFonts w:ascii="Cambria Math" w:hAnsi="Cambria Math"/>
                      <w:lang w:val="es-EC"/>
                    </w:rPr>
                    <m:t>ı</m:t>
                  </m:r>
                </m:e>
              </m:acc>
              <m:r>
                <w:rPr>
                  <w:rFonts w:ascii="Cambria Math" w:hAnsi="Cambria Math"/>
                </w:rPr>
                <m:t>o</m:t>
              </m:r>
            </m:sub>
          </m:sSub>
          <m:r>
            <w:rPr>
              <w:rFonts w:ascii="Cambria Math" w:hAnsi="Cambria Math"/>
              <w:lang w:val="es-EC"/>
            </w:rPr>
            <m:t>+0.8</m:t>
          </m:r>
          <m:r>
            <m:rPr>
              <m:nor/>
            </m:rPr>
            <w:rPr>
              <w:lang w:val="es-EC"/>
            </w:rPr>
            <m:t> </m:t>
          </m:r>
          <m:sSub>
            <m:sSubPr>
              <m:ctrlPr>
                <w:rPr>
                  <w:rFonts w:ascii="Cambria Math" w:hAnsi="Cambria Math"/>
                </w:rPr>
              </m:ctrlPr>
            </m:sSubPr>
            <m:e>
              <m:r>
                <w:rPr>
                  <w:rFonts w:ascii="Cambria Math" w:hAnsi="Cambria Math"/>
                </w:rPr>
                <m:t>m</m:t>
              </m:r>
            </m:e>
            <m:sub>
              <m:r>
                <w:rPr>
                  <w:rFonts w:ascii="Cambria Math" w:hAnsi="Cambria Math"/>
                </w:rPr>
                <m:t>payload</m:t>
              </m:r>
            </m:sub>
          </m:sSub>
        </m:oMath>
      </m:oMathPara>
    </w:p>
    <w:p w14:paraId="7E504FC3" w14:textId="77BE26A1" w:rsidR="00DB1DD2" w:rsidRPr="00DB1DD2" w:rsidRDefault="00DB1DD2" w:rsidP="00DB1DD2">
      <w:pPr>
        <w:rPr>
          <w:lang w:val="es-EC"/>
        </w:rPr>
      </w:pPr>
      <w:r w:rsidRPr="00DB1DD2">
        <w:rPr>
          <w:lang w:val="es-EC"/>
        </w:rPr>
        <w:t>Este enfoque permite capturar de manera consistente los efectos de las condiciones de conducción, incluyendo variaciones de velocidad, características del terreno y parámetros físicos del vehículo.</w:t>
      </w:r>
    </w:p>
    <w:p w14:paraId="51B8BB0E" w14:textId="4F94FFD5" w:rsidR="008B6E32" w:rsidRDefault="008B6E32" w:rsidP="00DB1DD2">
      <w:pPr>
        <w:rPr>
          <w:lang w:val="es-EC"/>
        </w:rPr>
      </w:pPr>
      <w:r w:rsidRPr="008B6E32">
        <w:rPr>
          <w:lang w:val="es-EC"/>
        </w:rPr>
        <w:t>Para convertir la potencia mecánica en las ruedas a potencia eléctrica, se consideran las eficiencias de los componentes principales del sistema de propulsión</w:t>
      </w:r>
      <w:r w:rsidR="00806645">
        <w:rPr>
          <w:lang w:val="es-EC"/>
        </w:rPr>
        <w:t xml:space="preserve"> </w:t>
      </w:r>
      <w:r w:rsidR="00806645" w:rsidRPr="00DB1DD2">
        <w:rPr>
          <w:lang w:val="es-EC"/>
        </w:rPr>
        <w:t>(4)</w:t>
      </w:r>
      <w:r w:rsidRPr="008B6E32">
        <w:rPr>
          <w:lang w:val="es-EC"/>
        </w:rPr>
        <w:t xml:space="preserve">. La Tabla </w:t>
      </w:r>
      <w:r>
        <w:rPr>
          <w:lang w:val="es-EC"/>
        </w:rPr>
        <w:t>3</w:t>
      </w:r>
      <w:r w:rsidRPr="008B6E32">
        <w:rPr>
          <w:lang w:val="es-EC"/>
        </w:rPr>
        <w:t xml:space="preserve"> resume los valores utilizados en este estudio.</w:t>
      </w:r>
    </w:p>
    <w:p w14:paraId="5F160EFA" w14:textId="03675705" w:rsidR="002B2C25" w:rsidRPr="00077845" w:rsidRDefault="002B2C25" w:rsidP="00520713">
      <w:pPr>
        <w:ind w:firstLine="0"/>
        <w:jc w:val="center"/>
        <w:rPr>
          <w:i/>
          <w:iCs/>
          <w:lang w:val="es-EC"/>
        </w:rPr>
      </w:pPr>
      <w:r w:rsidRPr="00077845">
        <w:rPr>
          <w:b/>
          <w:bCs/>
          <w:i/>
          <w:iCs/>
          <w:lang w:val="es-EC"/>
        </w:rPr>
        <w:t>Tabla 3.</w:t>
      </w:r>
      <w:r w:rsidRPr="00077845">
        <w:rPr>
          <w:i/>
          <w:iCs/>
          <w:lang w:val="es-EC"/>
        </w:rPr>
        <w:t xml:space="preserve"> Eficiencias </w:t>
      </w:r>
      <w:r w:rsidR="009164F3" w:rsidRPr="00077845">
        <w:rPr>
          <w:i/>
          <w:iCs/>
          <w:lang w:val="es-EC"/>
        </w:rPr>
        <w:t>para cálculo de potencia eléctrica</w:t>
      </w:r>
    </w:p>
    <w:tbl>
      <w:tblPr>
        <w:tblStyle w:val="TableGrid"/>
        <w:tblW w:w="0" w:type="auto"/>
        <w:tblLook w:val="04A0" w:firstRow="1" w:lastRow="0" w:firstColumn="1" w:lastColumn="0" w:noHBand="0" w:noVBand="1"/>
      </w:tblPr>
      <w:tblGrid>
        <w:gridCol w:w="2493"/>
        <w:gridCol w:w="1084"/>
        <w:gridCol w:w="5773"/>
      </w:tblGrid>
      <w:tr w:rsidR="00B8484E" w:rsidRPr="00B8484E" w14:paraId="7EB69320" w14:textId="77777777" w:rsidTr="00B8484E">
        <w:tc>
          <w:tcPr>
            <w:tcW w:w="0" w:type="auto"/>
            <w:vAlign w:val="center"/>
            <w:hideMark/>
          </w:tcPr>
          <w:p w14:paraId="4DDA3869" w14:textId="77777777" w:rsidR="00B8484E" w:rsidRPr="00B8484E" w:rsidRDefault="00B8484E" w:rsidP="00B8484E">
            <w:pPr>
              <w:ind w:firstLine="0"/>
              <w:jc w:val="center"/>
              <w:rPr>
                <w:b/>
                <w:bCs/>
              </w:rPr>
            </w:pPr>
            <w:r w:rsidRPr="00B8484E">
              <w:rPr>
                <w:b/>
                <w:bCs/>
              </w:rPr>
              <w:t>Parámetro</w:t>
            </w:r>
          </w:p>
        </w:tc>
        <w:tc>
          <w:tcPr>
            <w:tcW w:w="0" w:type="auto"/>
            <w:vAlign w:val="center"/>
            <w:hideMark/>
          </w:tcPr>
          <w:p w14:paraId="47B2F540" w14:textId="77777777" w:rsidR="00B8484E" w:rsidRPr="00B8484E" w:rsidRDefault="00B8484E" w:rsidP="00B8484E">
            <w:pPr>
              <w:ind w:firstLine="0"/>
              <w:jc w:val="center"/>
              <w:rPr>
                <w:b/>
                <w:bCs/>
              </w:rPr>
            </w:pPr>
            <w:r w:rsidRPr="00B8484E">
              <w:rPr>
                <w:b/>
                <w:bCs/>
              </w:rPr>
              <w:t>Símbolo</w:t>
            </w:r>
          </w:p>
        </w:tc>
        <w:tc>
          <w:tcPr>
            <w:tcW w:w="0" w:type="auto"/>
            <w:vAlign w:val="center"/>
            <w:hideMark/>
          </w:tcPr>
          <w:p w14:paraId="377781AD" w14:textId="374BDB54" w:rsidR="00B8484E" w:rsidRPr="00AC45A4" w:rsidRDefault="00AC45A4" w:rsidP="00B8484E">
            <w:pPr>
              <w:ind w:firstLine="0"/>
              <w:jc w:val="center"/>
              <w:rPr>
                <w:b/>
                <w:bCs/>
                <w:lang w:val="es-EC"/>
              </w:rPr>
            </w:pPr>
            <w:r>
              <w:rPr>
                <w:b/>
                <w:bCs/>
              </w:rPr>
              <w:t>Definici</w:t>
            </w:r>
            <w:r>
              <w:rPr>
                <w:b/>
                <w:bCs/>
                <w:lang w:val="es-EC"/>
              </w:rPr>
              <w:t>ón</w:t>
            </w:r>
          </w:p>
        </w:tc>
      </w:tr>
      <w:tr w:rsidR="00B8484E" w:rsidRPr="00AC45A4" w14:paraId="12B83EBB" w14:textId="77777777" w:rsidTr="00B8484E">
        <w:tc>
          <w:tcPr>
            <w:tcW w:w="0" w:type="auto"/>
            <w:vAlign w:val="center"/>
            <w:hideMark/>
          </w:tcPr>
          <w:p w14:paraId="3D372531" w14:textId="77777777" w:rsidR="00B8484E" w:rsidRPr="00B8484E" w:rsidRDefault="00B8484E" w:rsidP="00B8484E">
            <w:pPr>
              <w:ind w:firstLine="0"/>
              <w:jc w:val="center"/>
            </w:pPr>
            <w:r w:rsidRPr="00B8484E">
              <w:t>Eficiencia del motor</w:t>
            </w:r>
          </w:p>
        </w:tc>
        <w:tc>
          <w:tcPr>
            <w:tcW w:w="0" w:type="auto"/>
            <w:vAlign w:val="center"/>
            <w:hideMark/>
          </w:tcPr>
          <w:p w14:paraId="079A984E" w14:textId="474FBAFB" w:rsidR="00B8484E" w:rsidRPr="00B8484E" w:rsidRDefault="000D2CA0" w:rsidP="00B8484E">
            <w:pPr>
              <w:ind w:firstLine="0"/>
              <w:jc w:val="center"/>
            </w:pPr>
            <m:oMathPara>
              <m:oMath>
                <m:sSub>
                  <m:sSubPr>
                    <m:ctrlPr>
                      <w:rPr>
                        <w:rFonts w:ascii="Cambria Math" w:hAnsi="Cambria Math"/>
                      </w:rPr>
                    </m:ctrlPr>
                  </m:sSubPr>
                  <m:e>
                    <m:r>
                      <w:rPr>
                        <w:rFonts w:ascii="Cambria Math" w:hAnsi="Cambria Math"/>
                      </w:rPr>
                      <m:t>η</m:t>
                    </m:r>
                  </m:e>
                  <m:sub>
                    <m:r>
                      <w:rPr>
                        <w:rFonts w:ascii="Cambria Math" w:hAnsi="Cambria Math"/>
                      </w:rPr>
                      <m:t>mot</m:t>
                    </m:r>
                  </m:sub>
                </m:sSub>
              </m:oMath>
            </m:oMathPara>
          </w:p>
        </w:tc>
        <w:tc>
          <w:tcPr>
            <w:tcW w:w="0" w:type="auto"/>
            <w:vAlign w:val="center"/>
            <w:hideMark/>
          </w:tcPr>
          <w:p w14:paraId="50D19119" w14:textId="0995DE95" w:rsidR="00B8484E" w:rsidRPr="00AC45A4" w:rsidRDefault="00AC45A4" w:rsidP="00B8484E">
            <w:pPr>
              <w:ind w:firstLine="0"/>
              <w:jc w:val="center"/>
              <w:rPr>
                <w:lang w:val="es-EC"/>
              </w:rPr>
            </w:pPr>
            <w:r w:rsidRPr="00AC45A4">
              <w:rPr>
                <w:lang w:val="es-EC"/>
              </w:rPr>
              <w:t>P</w:t>
            </w:r>
            <w:r w:rsidRPr="00AC45A4">
              <w:rPr>
                <w:lang w:val="es-EC"/>
              </w:rPr>
              <w:t>érdidas durante la tracción</w:t>
            </w:r>
            <w:r w:rsidRPr="00AC45A4">
              <w:rPr>
                <w:lang w:val="es-EC"/>
              </w:rPr>
              <w:t xml:space="preserve">. Incluye </w:t>
            </w:r>
            <w:r>
              <w:rPr>
                <w:lang w:val="es-EC"/>
              </w:rPr>
              <w:t>Sistema de transmisión</w:t>
            </w:r>
          </w:p>
        </w:tc>
      </w:tr>
      <w:tr w:rsidR="00B8484E" w:rsidRPr="004E3DDA" w14:paraId="641694F2" w14:textId="77777777" w:rsidTr="00B8484E">
        <w:tc>
          <w:tcPr>
            <w:tcW w:w="0" w:type="auto"/>
            <w:vAlign w:val="center"/>
            <w:hideMark/>
          </w:tcPr>
          <w:p w14:paraId="414B4CD2" w14:textId="77777777" w:rsidR="00B8484E" w:rsidRPr="00B8484E" w:rsidRDefault="00B8484E" w:rsidP="00B8484E">
            <w:pPr>
              <w:ind w:firstLine="0"/>
              <w:jc w:val="center"/>
            </w:pPr>
            <w:r w:rsidRPr="00B8484E">
              <w:t>Eficiencia del generador</w:t>
            </w:r>
          </w:p>
        </w:tc>
        <w:tc>
          <w:tcPr>
            <w:tcW w:w="0" w:type="auto"/>
            <w:vAlign w:val="center"/>
            <w:hideMark/>
          </w:tcPr>
          <w:p w14:paraId="00CEF9AC" w14:textId="588157B4" w:rsidR="00B8484E" w:rsidRPr="00B8484E" w:rsidRDefault="000D2CA0" w:rsidP="00B8484E">
            <w:pPr>
              <w:ind w:firstLine="0"/>
              <w:jc w:val="center"/>
            </w:pPr>
            <m:oMathPara>
              <m:oMath>
                <m:sSub>
                  <m:sSubPr>
                    <m:ctrlPr>
                      <w:rPr>
                        <w:rFonts w:ascii="Cambria Math" w:hAnsi="Cambria Math"/>
                      </w:rPr>
                    </m:ctrlPr>
                  </m:sSubPr>
                  <m:e>
                    <m:r>
                      <w:rPr>
                        <w:rFonts w:ascii="Cambria Math" w:hAnsi="Cambria Math"/>
                      </w:rPr>
                      <m:t>η</m:t>
                    </m:r>
                  </m:e>
                  <m:sub>
                    <m:r>
                      <w:rPr>
                        <w:rFonts w:ascii="Cambria Math" w:hAnsi="Cambria Math"/>
                      </w:rPr>
                      <m:t>gen</m:t>
                    </m:r>
                  </m:sub>
                </m:sSub>
              </m:oMath>
            </m:oMathPara>
          </w:p>
        </w:tc>
        <w:tc>
          <w:tcPr>
            <w:tcW w:w="0" w:type="auto"/>
            <w:vAlign w:val="center"/>
            <w:hideMark/>
          </w:tcPr>
          <w:p w14:paraId="1F4CE5BF" w14:textId="499767BC" w:rsidR="00B8484E" w:rsidRPr="004E3DDA" w:rsidRDefault="004E3DDA" w:rsidP="00B8484E">
            <w:pPr>
              <w:ind w:firstLine="0"/>
              <w:jc w:val="center"/>
              <w:rPr>
                <w:lang w:val="es-EC"/>
              </w:rPr>
            </w:pPr>
            <w:r w:rsidRPr="004E3DDA">
              <w:rPr>
                <w:lang w:val="es-EC"/>
              </w:rPr>
              <w:t>P</w:t>
            </w:r>
            <w:r w:rsidRPr="004E3DDA">
              <w:rPr>
                <w:lang w:val="es-EC"/>
              </w:rPr>
              <w:t>érdidas asociadas al frenado regenerativo</w:t>
            </w:r>
          </w:p>
        </w:tc>
      </w:tr>
      <w:tr w:rsidR="00B8484E" w:rsidRPr="002B2C25" w14:paraId="72429382" w14:textId="77777777" w:rsidTr="00B8484E">
        <w:tc>
          <w:tcPr>
            <w:tcW w:w="0" w:type="auto"/>
            <w:vAlign w:val="center"/>
            <w:hideMark/>
          </w:tcPr>
          <w:p w14:paraId="515CF4F9" w14:textId="77777777" w:rsidR="00B8484E" w:rsidRPr="00B8484E" w:rsidRDefault="00B8484E" w:rsidP="00B8484E">
            <w:pPr>
              <w:ind w:firstLine="0"/>
              <w:jc w:val="center"/>
            </w:pPr>
            <w:r w:rsidRPr="00B8484E">
              <w:t>Factor de recuperación</w:t>
            </w:r>
          </w:p>
        </w:tc>
        <w:tc>
          <w:tcPr>
            <w:tcW w:w="0" w:type="auto"/>
            <w:vAlign w:val="center"/>
            <w:hideMark/>
          </w:tcPr>
          <w:p w14:paraId="762EC993" w14:textId="5CEE4AF8" w:rsidR="00B8484E" w:rsidRPr="00B8484E" w:rsidRDefault="000D2CA0" w:rsidP="00B8484E">
            <w:pPr>
              <w:ind w:firstLine="0"/>
              <w:jc w:val="center"/>
            </w:pPr>
            <m:oMathPara>
              <m:oMath>
                <m:sSub>
                  <m:sSubPr>
                    <m:ctrlPr>
                      <w:rPr>
                        <w:rFonts w:ascii="Cambria Math" w:hAnsi="Cambria Math"/>
                      </w:rPr>
                    </m:ctrlPr>
                  </m:sSubPr>
                  <m:e>
                    <m:r>
                      <w:rPr>
                        <w:rFonts w:ascii="Cambria Math" w:hAnsi="Cambria Math"/>
                      </w:rPr>
                      <m:t>η</m:t>
                    </m:r>
                  </m:e>
                  <m:sub>
                    <m:r>
                      <w:rPr>
                        <w:rFonts w:ascii="Cambria Math" w:hAnsi="Cambria Math"/>
                      </w:rPr>
                      <m:t>rec</m:t>
                    </m:r>
                  </m:sub>
                </m:sSub>
              </m:oMath>
            </m:oMathPara>
          </w:p>
        </w:tc>
        <w:tc>
          <w:tcPr>
            <w:tcW w:w="0" w:type="auto"/>
            <w:vAlign w:val="center"/>
            <w:hideMark/>
          </w:tcPr>
          <w:p w14:paraId="7BF7F36D" w14:textId="407CBD0C" w:rsidR="00B8484E" w:rsidRPr="002B2C25" w:rsidRDefault="004E3DDA" w:rsidP="00B8484E">
            <w:pPr>
              <w:ind w:firstLine="0"/>
              <w:jc w:val="center"/>
              <w:rPr>
                <w:lang w:val="es-EC"/>
              </w:rPr>
            </w:pPr>
            <w:r w:rsidRPr="002B2C25">
              <w:rPr>
                <w:lang w:val="es-EC"/>
              </w:rPr>
              <w:t>F</w:t>
            </w:r>
            <w:r w:rsidRPr="002B2C25">
              <w:rPr>
                <w:lang w:val="es-EC"/>
              </w:rPr>
              <w:t>racción de energía efectivamente recuperada.</w:t>
            </w:r>
          </w:p>
        </w:tc>
      </w:tr>
    </w:tbl>
    <w:p w14:paraId="7DE9BDA6" w14:textId="77777777" w:rsidR="00177BE3" w:rsidRDefault="00177BE3" w:rsidP="00DB1DD2">
      <w:pPr>
        <w:rPr>
          <w:lang w:val="es-EC"/>
        </w:rPr>
      </w:pPr>
    </w:p>
    <w:p w14:paraId="6A10E692" w14:textId="5A22A390" w:rsidR="00DB1DD2" w:rsidRPr="00DB1DD2" w:rsidRDefault="2B5DDBF8" w:rsidP="00DB1DD2">
      <w:pPr>
        <w:rPr>
          <w:lang w:val="es-EC"/>
        </w:rPr>
      </w:pPr>
      <w:r w:rsidRPr="00DB1DD2">
        <w:rPr>
          <w:lang w:val="es-EC"/>
        </w:rPr>
        <w:t xml:space="preserve">En modo de </w:t>
      </w:r>
      <w:r w:rsidR="001C673F" w:rsidRPr="00DB1DD2">
        <w:rPr>
          <w:lang w:val="es-EC"/>
        </w:rPr>
        <w:t>tracción (</w:t>
      </w:r>
      <m:oMath>
        <m:sSub>
          <m:sSubPr>
            <m:ctrlPr>
              <w:rPr>
                <w:rFonts w:ascii="Cambria Math" w:hAnsi="Cambria Math"/>
              </w:rPr>
            </m:ctrlPr>
          </m:sSubPr>
          <m:e>
            <m:r>
              <w:rPr>
                <w:rFonts w:ascii="Cambria Math" w:hAnsi="Cambria Math"/>
              </w:rPr>
              <m:t>P</m:t>
            </m:r>
          </m:e>
          <m:sub>
            <m:r>
              <w:rPr>
                <w:rFonts w:ascii="Cambria Math" w:hAnsi="Cambria Math"/>
              </w:rPr>
              <m:t>ruedas</m:t>
            </m:r>
          </m:sub>
        </m:sSub>
        <m:r>
          <w:rPr>
            <w:rFonts w:ascii="Cambria Math" w:hAnsi="Cambria Math"/>
            <w:lang w:val="es-EC"/>
          </w:rPr>
          <m:t> &lt;0</m:t>
        </m:r>
      </m:oMath>
      <w:r w:rsidR="71BF6055" w:rsidRPr="00DB1DD2">
        <w:rPr>
          <w:lang w:val="es-EC"/>
        </w:rPr>
        <w:t>)</w:t>
      </w:r>
      <w:r w:rsidRPr="00DB1DD2">
        <w:rPr>
          <w:lang w:val="es-EC"/>
        </w:rPr>
        <w:t>, la potencia demandada desde la batería es mayor que la entregada a las ruedas, y se modela como:</w:t>
      </w:r>
    </w:p>
    <w:p w14:paraId="256A5D43" w14:textId="5453E0DD" w:rsidR="00DB1DD2" w:rsidRPr="00DB1DD2" w:rsidRDefault="00123334" w:rsidP="6F92B8E9">
      <w:pPr>
        <w:jc w:val="center"/>
      </w:pPr>
      <m:oMathPara>
        <m:oMath>
          <m:sSub>
            <m:sSubPr>
              <m:ctrlPr>
                <w:rPr>
                  <w:rFonts w:ascii="Cambria Math" w:hAnsi="Cambria Math"/>
                </w:rPr>
              </m:ctrlPr>
            </m:sSubPr>
            <m:e>
              <m:r>
                <w:rPr>
                  <w:rFonts w:ascii="Cambria Math" w:hAnsi="Cambria Math"/>
                </w:rPr>
                <m:t>P</m:t>
              </m:r>
            </m:e>
            <m:sub>
              <m:r>
                <w:rPr>
                  <w:rFonts w:ascii="Cambria Math" w:hAnsi="Cambria Math"/>
                </w:rPr>
                <m:t>elec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ruedas</m:t>
                  </m:r>
                </m:sub>
              </m:sSub>
            </m:num>
            <m:den>
              <m:sSub>
                <m:sSubPr>
                  <m:ctrlPr>
                    <w:rPr>
                      <w:rFonts w:ascii="Cambria Math" w:hAnsi="Cambria Math"/>
                    </w:rPr>
                  </m:ctrlPr>
                </m:sSubPr>
                <m:e>
                  <m:r>
                    <w:rPr>
                      <w:rFonts w:ascii="Cambria Math" w:hAnsi="Cambria Math"/>
                    </w:rPr>
                    <m:t>η</m:t>
                  </m:r>
                </m:e>
                <m:sub>
                  <m:r>
                    <w:rPr>
                      <w:rFonts w:ascii="Cambria Math" w:hAnsi="Cambria Math"/>
                    </w:rPr>
                    <m:t>mot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rec</m:t>
                  </m:r>
                </m:sub>
              </m:sSub>
            </m:den>
          </m:f>
        </m:oMath>
      </m:oMathPara>
    </w:p>
    <w:p w14:paraId="7C888E3B" w14:textId="5C634E2F" w:rsidR="00DB1DD2" w:rsidRPr="00DB1DD2" w:rsidRDefault="2B5DDBF8" w:rsidP="00DB1DD2">
      <w:pPr>
        <w:rPr>
          <w:lang w:val="es-EC"/>
        </w:rPr>
      </w:pPr>
      <w:r w:rsidRPr="00DB1DD2">
        <w:rPr>
          <w:lang w:val="es-EC"/>
        </w:rPr>
        <w:t xml:space="preserve">Por otro lado, durante el frenado regenerativo </w:t>
      </w:r>
      <w:r w:rsidR="211F86B4" w:rsidRPr="00DB1DD2">
        <w:rPr>
          <w:lang w:val="es-EC"/>
        </w:rPr>
        <w:t>(</w:t>
      </w:r>
      <m:oMath>
        <m:sSub>
          <m:sSubPr>
            <m:ctrlPr>
              <w:rPr>
                <w:rFonts w:ascii="Cambria Math" w:hAnsi="Cambria Math"/>
              </w:rPr>
            </m:ctrlPr>
          </m:sSubPr>
          <m:e>
            <m:r>
              <w:rPr>
                <w:rFonts w:ascii="Cambria Math" w:hAnsi="Cambria Math"/>
              </w:rPr>
              <m:t>P</m:t>
            </m:r>
          </m:e>
          <m:sub>
            <m:r>
              <w:rPr>
                <w:rFonts w:ascii="Cambria Math" w:hAnsi="Cambria Math"/>
              </w:rPr>
              <m:t>ruedas</m:t>
            </m:r>
          </m:sub>
        </m:sSub>
        <m:r>
          <w:rPr>
            <w:rFonts w:ascii="Cambria Math" w:hAnsi="Cambria Math"/>
            <w:lang w:val="es-EC"/>
          </w:rPr>
          <m:t> &gt; 0</m:t>
        </m:r>
      </m:oMath>
      <w:r w:rsidR="11CA8BF7" w:rsidRPr="00DB1DD2">
        <w:rPr>
          <w:lang w:val="es-EC"/>
        </w:rPr>
        <w:t>)</w:t>
      </w:r>
      <w:r w:rsidRPr="00DB1DD2">
        <w:rPr>
          <w:lang w:val="es-EC"/>
        </w:rPr>
        <w:t>, solo una fracción de la energía cinética puede ser recuperada y almacenada en la batería, dependiendo de la eficiencia del sistema y del factor de recuperación:</w:t>
      </w:r>
    </w:p>
    <w:p w14:paraId="2FA0D801" w14:textId="52126376" w:rsidR="6D369235" w:rsidRPr="00024518" w:rsidRDefault="00123334" w:rsidP="005F4896">
      <w:pPr>
        <w:jc w:val="center"/>
      </w:pPr>
      <m:oMathPara>
        <m:oMath>
          <m:sSub>
            <m:sSubPr>
              <m:ctrlPr>
                <w:rPr>
                  <w:rFonts w:ascii="Cambria Math" w:hAnsi="Cambria Math"/>
                </w:rPr>
              </m:ctrlPr>
            </m:sSubPr>
            <m:e>
              <m:r>
                <w:rPr>
                  <w:rFonts w:ascii="Cambria Math" w:hAnsi="Cambria Math"/>
                </w:rPr>
                <m:t>P</m:t>
              </m:r>
            </m:e>
            <m:sub>
              <m:r>
                <w:rPr>
                  <w:rFonts w:ascii="Cambria Math" w:hAnsi="Cambria Math"/>
                </w:rPr>
                <m:t>elec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ruedas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mot</m:t>
              </m:r>
            </m:sub>
          </m:sSub>
          <m:r>
            <w:rPr>
              <w:rFonts w:ascii="Cambria Math" w:hAnsi="Cambria Math"/>
            </w:rPr>
            <m:t>⋅</m:t>
          </m:r>
          <w:commentRangeStart w:id="1"/>
          <m:sSub>
            <m:sSubPr>
              <m:ctrlPr>
                <w:rPr>
                  <w:rFonts w:ascii="Cambria Math" w:hAnsi="Cambria Math"/>
                </w:rPr>
              </m:ctrlPr>
            </m:sSubPr>
            <m:e>
              <m:r>
                <w:rPr>
                  <w:rFonts w:ascii="Cambria Math" w:hAnsi="Cambria Math"/>
                </w:rPr>
                <m:t>η</m:t>
              </m:r>
            </m:e>
            <m:sub>
              <m:r>
                <w:rPr>
                  <w:rFonts w:ascii="Cambria Math" w:hAnsi="Cambria Math"/>
                </w:rPr>
                <m:t>gen</m:t>
              </m:r>
            </m:sub>
          </m:sSub>
          <w:commentRangeEnd w:id="1"/>
          <m:r>
            <w:rPr>
              <w:rStyle w:val="CommentReference"/>
              <w:rFonts w:ascii="Cambria Math" w:hAnsi="Cambria Math"/>
              <w:i/>
              <w:sz w:val="22"/>
              <w:szCs w:val="24"/>
            </w:rPr>
            <w:commentReference w:id="1"/>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rec</m:t>
              </m:r>
            </m:sub>
          </m:sSub>
        </m:oMath>
      </m:oMathPara>
    </w:p>
    <w:p w14:paraId="601E54A8" w14:textId="4CBFBD52" w:rsidR="00D8614E" w:rsidRPr="00D8614E" w:rsidRDefault="00DB1DD2" w:rsidP="00263336">
      <w:pPr>
        <w:rPr>
          <w:lang w:val="es-EC"/>
        </w:rPr>
      </w:pPr>
      <w:r w:rsidRPr="00DB1DD2">
        <w:rPr>
          <w:lang w:val="es-EC"/>
        </w:rPr>
        <w:t xml:space="preserve">Este tratamiento es consistente con modelos energéticos utilizados en estudios de electrificación del transporte, donde la eficiencia del sistema y la recuperación energética juegan </w:t>
      </w:r>
      <w:r w:rsidRPr="00DB1DD2">
        <w:rPr>
          <w:lang w:val="es-EC"/>
        </w:rPr>
        <w:lastRenderedPageBreak/>
        <w:t xml:space="preserve">un rol clave en la estimación del consumo </w:t>
      </w:r>
      <w:r w:rsidR="00263336" w:rsidRPr="00DB1DD2">
        <w:rPr>
          <w:lang w:val="es-EC"/>
        </w:rPr>
        <w:t>neto.</w:t>
      </w:r>
      <w:r w:rsidR="00263336">
        <w:rPr>
          <w:lang w:val="es-EC"/>
        </w:rPr>
        <w:t xml:space="preserve"> </w:t>
      </w:r>
      <w:r w:rsidRPr="00DB1DD2">
        <w:rPr>
          <w:lang w:val="es-EC"/>
        </w:rPr>
        <w:t>A continuación, se presenta la gráfica de potencia requerida para la Pick-Up eléctrica, obtenida a partir del perfil de velocidad previamente definido, la cual permite visualizar la variabilidad temporal de la demanda energética a lo largo del ciclo de conducción.</w:t>
      </w:r>
    </w:p>
    <w:p w14:paraId="1056B7C8" w14:textId="79332C8E" w:rsidR="00C12551" w:rsidRDefault="0085241E" w:rsidP="00C12551">
      <w:pPr>
        <w:ind w:firstLine="0"/>
        <w:rPr>
          <w:highlight w:val="yellow"/>
        </w:rPr>
      </w:pPr>
      <w:r w:rsidRPr="0085241E">
        <w:drawing>
          <wp:inline distT="0" distB="0" distL="0" distR="0" wp14:anchorId="3B413780" wp14:editId="28FCE999">
            <wp:extent cx="5943600" cy="2912745"/>
            <wp:effectExtent l="0" t="0" r="0" b="1905"/>
            <wp:docPr id="4723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2884" name=""/>
                    <pic:cNvPicPr/>
                  </pic:nvPicPr>
                  <pic:blipFill>
                    <a:blip r:embed="rId15"/>
                    <a:stretch>
                      <a:fillRect/>
                    </a:stretch>
                  </pic:blipFill>
                  <pic:spPr>
                    <a:xfrm>
                      <a:off x="0" y="0"/>
                      <a:ext cx="5943600" cy="2912745"/>
                    </a:xfrm>
                    <a:prstGeom prst="rect">
                      <a:avLst/>
                    </a:prstGeom>
                  </pic:spPr>
                </pic:pic>
              </a:graphicData>
            </a:graphic>
          </wp:inline>
        </w:drawing>
      </w:r>
    </w:p>
    <w:p w14:paraId="63430CC8" w14:textId="5A39F2DE" w:rsidR="00AF635D" w:rsidRPr="003C044A" w:rsidRDefault="00C12551" w:rsidP="00F41E17">
      <w:pPr>
        <w:ind w:firstLine="0"/>
        <w:jc w:val="center"/>
        <w:rPr>
          <w:i/>
          <w:iCs/>
          <w:lang w:val="es-EC"/>
        </w:rPr>
      </w:pPr>
      <w:r w:rsidRPr="00CB7577">
        <w:rPr>
          <w:b/>
          <w:bCs/>
          <w:i/>
          <w:iCs/>
        </w:rPr>
        <w:t>Figure</w:t>
      </w:r>
      <w:r w:rsidR="00CB7577">
        <w:rPr>
          <w:b/>
          <w:bCs/>
          <w:i/>
          <w:iCs/>
        </w:rPr>
        <w:t xml:space="preserve"> 4</w:t>
      </w:r>
      <w:r w:rsidRPr="00CB7577">
        <w:rPr>
          <w:b/>
          <w:bCs/>
          <w:i/>
          <w:iCs/>
        </w:rPr>
        <w:t xml:space="preserve">. </w:t>
      </w:r>
      <w:r w:rsidR="003C044A" w:rsidRPr="009C5275">
        <w:rPr>
          <w:i/>
          <w:iCs/>
          <w:lang w:val="es-EC"/>
        </w:rPr>
        <w:t xml:space="preserve">Perfil de Potencia Eléctrica Requerida. </w:t>
      </w:r>
      <w:r w:rsidR="003C044A" w:rsidRPr="009C5275">
        <w:rPr>
          <w:i/>
          <w:iCs/>
          <w:sz w:val="20"/>
          <w:szCs w:val="22"/>
          <w:lang w:val="es-EC"/>
        </w:rPr>
        <w:t>Pot</w:t>
      </w:r>
      <w:r w:rsidR="003C044A">
        <w:rPr>
          <w:i/>
          <w:iCs/>
          <w:sz w:val="20"/>
          <w:szCs w:val="22"/>
          <w:lang w:val="es-EC"/>
        </w:rPr>
        <w:t xml:space="preserve">encia requerida </w:t>
      </w:r>
      <w:r w:rsidR="003C044A" w:rsidRPr="00DE7515">
        <w:rPr>
          <w:i/>
          <w:iCs/>
          <w:sz w:val="20"/>
          <w:szCs w:val="22"/>
          <w:lang w:val="es-EC"/>
        </w:rPr>
        <w:t xml:space="preserve">del vehículo durante una jornada típica de operación en </w:t>
      </w:r>
      <w:r w:rsidR="00884CF8">
        <w:rPr>
          <w:i/>
          <w:iCs/>
          <w:sz w:val="20"/>
          <w:szCs w:val="22"/>
          <w:lang w:val="es-EC"/>
        </w:rPr>
        <w:t>la isla Santa Cruz</w:t>
      </w:r>
      <w:r w:rsidR="003C044A" w:rsidRPr="00DE7515">
        <w:rPr>
          <w:i/>
          <w:iCs/>
          <w:sz w:val="20"/>
          <w:szCs w:val="22"/>
          <w:lang w:val="es-EC"/>
        </w:rPr>
        <w:t>. El panel inferior muestra un detalle del período de actividad entre las 14:00 y 17:00 h.</w:t>
      </w:r>
    </w:p>
    <w:p w14:paraId="3B208FDE" w14:textId="795E535B" w:rsidR="00AF635D" w:rsidRDefault="00281095" w:rsidP="007A4C94">
      <w:pPr>
        <w:pStyle w:val="Heading2"/>
      </w:pPr>
      <w:r w:rsidRPr="00281095">
        <w:rPr>
          <w:rFonts w:eastAsiaTheme="minorHAnsi" w:cstheme="minorBidi"/>
        </w:rPr>
        <w:t>State of Charge, SoC</w:t>
      </w:r>
    </w:p>
    <w:p w14:paraId="04032E58" w14:textId="19DD21F3" w:rsidR="00281095" w:rsidRPr="00281095" w:rsidRDefault="00281095" w:rsidP="00281095">
      <w:pPr>
        <w:rPr>
          <w:lang w:val="es-EC"/>
        </w:rPr>
      </w:pPr>
      <w:r w:rsidRPr="00281095">
        <w:rPr>
          <w:lang w:val="es-EC"/>
        </w:rPr>
        <w:t xml:space="preserve">El estado de carga de la batería se calculó mediante un balance energético discreto en el tiempo, basado en la potencia eléctrica demandada por el vehículo. En cada instante </w:t>
      </w:r>
      <m:oMath>
        <m:r>
          <w:rPr>
            <w:rFonts w:ascii="Cambria Math" w:hAnsi="Cambria Math"/>
          </w:rPr>
          <m:t>t</m:t>
        </m:r>
      </m:oMath>
      <w:r w:rsidRPr="00281095">
        <w:rPr>
          <w:lang w:val="es-EC"/>
        </w:rPr>
        <w:t>, el SoC se actualiza considerando la energía consumida o recuperada, de acuerdo con la siguiente relación:</w:t>
      </w:r>
    </w:p>
    <w:p w14:paraId="4CEB98A6" w14:textId="77777777" w:rsidR="009A7261" w:rsidRPr="00293083" w:rsidRDefault="009A7261" w:rsidP="009A7261">
      <m:oMathPara>
        <m:oMath>
          <m:r>
            <w:rPr>
              <w:rFonts w:ascii="Cambria Math" w:hAnsi="Cambria Math"/>
            </w:rPr>
            <m:t>E(t)=∫</m:t>
          </m:r>
          <m:sSub>
            <m:sSubPr>
              <m:ctrlPr>
                <w:rPr>
                  <w:rFonts w:ascii="Cambria Math" w:hAnsi="Cambria Math"/>
                </w:rPr>
              </m:ctrlPr>
            </m:sSubPr>
            <m:e>
              <m:r>
                <w:rPr>
                  <w:rFonts w:ascii="Cambria Math" w:hAnsi="Cambria Math"/>
                </w:rPr>
                <m:t>P</m:t>
              </m:r>
            </m:e>
            <m:sub>
              <m:r>
                <w:rPr>
                  <w:rFonts w:ascii="Cambria Math" w:hAnsi="Cambria Math"/>
                </w:rPr>
                <m:t>elec</m:t>
              </m:r>
            </m:sub>
          </m:sSub>
          <m:r>
            <w:rPr>
              <w:rFonts w:ascii="Cambria Math" w:hAnsi="Cambria Math"/>
            </w:rPr>
            <m:t>(t)</m:t>
          </m:r>
          <m:r>
            <m:rPr>
              <m:nor/>
            </m:rPr>
            <w:rPr>
              <w:rFonts w:cs="Arial"/>
            </w:rPr>
            <m:t> </m:t>
          </m:r>
          <m:r>
            <w:rPr>
              <w:rFonts w:ascii="Cambria Math" w:hAnsi="Cambria Math"/>
            </w:rPr>
            <m:t>dt</m:t>
          </m:r>
        </m:oMath>
      </m:oMathPara>
    </w:p>
    <w:p w14:paraId="29E1DFEB" w14:textId="02D8BC41" w:rsidR="00281095" w:rsidRPr="00281095" w:rsidRDefault="009A7261" w:rsidP="6F92B8E9">
      <w:pPr>
        <w:jc w:val="center"/>
      </w:pPr>
      <m:oMathPara>
        <m:oMath>
          <m:r>
            <w:rPr>
              <w:rFonts w:ascii="Cambria Math" w:hAnsi="Cambria Math"/>
            </w:rPr>
            <m:t>SOC</m:t>
          </m:r>
          <m:d>
            <m:dPr>
              <m:ctrlPr>
                <w:rPr>
                  <w:rFonts w:ascii="Cambria Math" w:hAnsi="Cambria Math"/>
                </w:rPr>
              </m:ctrlPr>
            </m:dPr>
            <m:e>
              <m:r>
                <w:rPr>
                  <w:rFonts w:ascii="Cambria Math" w:hAnsi="Cambria Math"/>
                </w:rPr>
                <m:t>t</m:t>
              </m:r>
            </m:e>
          </m:d>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consumida</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E</m:t>
                  </m:r>
                </m:e>
                <m:sub>
                  <m:r>
                    <w:rPr>
                      <w:rFonts w:ascii="Cambria Math" w:hAnsi="Cambria Math"/>
                    </w:rPr>
                    <m:t>bat</m:t>
                  </m:r>
                </m:sub>
              </m:sSub>
            </m:den>
          </m:f>
        </m:oMath>
      </m:oMathPara>
    </w:p>
    <w:p w14:paraId="6B4A6D7A" w14:textId="77777777" w:rsidR="0015054A" w:rsidRDefault="00281095" w:rsidP="00281095">
      <w:pPr>
        <w:rPr>
          <w:b/>
          <w:bCs/>
          <w:lang w:val="es-EC"/>
        </w:rPr>
      </w:pPr>
      <w:r w:rsidRPr="00281095">
        <w:rPr>
          <w:lang w:val="es-EC"/>
        </w:rPr>
        <w:t xml:space="preserve">Para el análisis del comportamiento del sistema, se evaluaron dos escenarios: (i) operación sin recarga desde la red eléctrica y (ii) operación incluyendo eventos de carga. A </w:t>
      </w:r>
      <w:r w:rsidRPr="00281095">
        <w:rPr>
          <w:lang w:val="es-EC"/>
        </w:rPr>
        <w:lastRenderedPageBreak/>
        <w:t xml:space="preserve">continuación, se observa la gráfica del SoC para ambos casos, lo que permite identificar la evolución del nivel de energía disponible en la batería a lo largo del </w:t>
      </w:r>
      <w:commentRangeStart w:id="2"/>
      <w:r w:rsidRPr="00281095">
        <w:rPr>
          <w:lang w:val="es-EC"/>
        </w:rPr>
        <w:t>día</w:t>
      </w:r>
      <w:commentRangeEnd w:id="2"/>
      <w:r w:rsidR="00644837" w:rsidRPr="00281095">
        <w:rPr>
          <w:rStyle w:val="CommentReference"/>
          <w:sz w:val="22"/>
          <w:szCs w:val="24"/>
          <w:lang w:val="es-EC"/>
        </w:rPr>
        <w:commentReference w:id="2"/>
      </w:r>
      <w:r w:rsidRPr="00281095">
        <w:rPr>
          <w:lang w:val="es-EC"/>
        </w:rPr>
        <w:t>.</w:t>
      </w:r>
      <w:r w:rsidR="0015054A" w:rsidRPr="0015054A">
        <w:rPr>
          <w:b/>
          <w:bCs/>
          <w:lang w:val="es-EC"/>
        </w:rPr>
        <w:t xml:space="preserve"> </w:t>
      </w:r>
    </w:p>
    <w:p w14:paraId="5957F4F7" w14:textId="64D69948" w:rsidR="00281095" w:rsidRPr="009F3B95" w:rsidRDefault="0070400E" w:rsidP="00CD182C">
      <w:pPr>
        <w:ind w:firstLine="0"/>
        <w:jc w:val="center"/>
        <w:rPr>
          <w:lang w:val="es-EC"/>
        </w:rPr>
      </w:pPr>
      <w:r w:rsidRPr="0070400E">
        <w:rPr>
          <w:lang w:val="es-EC"/>
        </w:rPr>
        <w:drawing>
          <wp:inline distT="0" distB="0" distL="0" distR="0" wp14:anchorId="17C35459" wp14:editId="711261ED">
            <wp:extent cx="5943600" cy="2929255"/>
            <wp:effectExtent l="0" t="0" r="0" b="4445"/>
            <wp:docPr id="30165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55639" name=""/>
                    <pic:cNvPicPr/>
                  </pic:nvPicPr>
                  <pic:blipFill>
                    <a:blip r:embed="rId16"/>
                    <a:stretch>
                      <a:fillRect/>
                    </a:stretch>
                  </pic:blipFill>
                  <pic:spPr>
                    <a:xfrm>
                      <a:off x="0" y="0"/>
                      <a:ext cx="5943600" cy="2929255"/>
                    </a:xfrm>
                    <a:prstGeom prst="rect">
                      <a:avLst/>
                    </a:prstGeom>
                  </pic:spPr>
                </pic:pic>
              </a:graphicData>
            </a:graphic>
          </wp:inline>
        </w:drawing>
      </w:r>
    </w:p>
    <w:p w14:paraId="7FC23A80" w14:textId="77777777" w:rsidR="001F11EC" w:rsidRDefault="0015054A" w:rsidP="00354906">
      <w:pPr>
        <w:ind w:firstLine="0"/>
        <w:jc w:val="center"/>
        <w:rPr>
          <w:i/>
          <w:iCs/>
          <w:lang w:val="es-EC"/>
        </w:rPr>
      </w:pPr>
      <w:r w:rsidRPr="0015054A">
        <w:rPr>
          <w:b/>
          <w:bCs/>
          <w:i/>
          <w:iCs/>
        </w:rPr>
        <w:t xml:space="preserve">Figure 5. </w:t>
      </w:r>
      <w:r w:rsidR="00354906" w:rsidRPr="00354906">
        <w:rPr>
          <w:i/>
          <w:iCs/>
          <w:lang w:val="es-EC"/>
        </w:rPr>
        <w:t xml:space="preserve">Estado de carga (SoC) de una pickup. </w:t>
      </w:r>
      <w:r w:rsidR="00354906" w:rsidRPr="000F31CB">
        <w:rPr>
          <w:i/>
          <w:iCs/>
          <w:sz w:val="20"/>
          <w:szCs w:val="22"/>
          <w:lang w:val="es-EC"/>
        </w:rPr>
        <w:t>Comparación de la evolución del SoC durante un día típico de operación con y sin recarga desde la red</w:t>
      </w:r>
      <w:r w:rsidR="00F121FE" w:rsidRPr="000F31CB">
        <w:rPr>
          <w:i/>
          <w:iCs/>
          <w:sz w:val="20"/>
          <w:szCs w:val="22"/>
          <w:lang w:val="es-EC"/>
        </w:rPr>
        <w:t xml:space="preserve"> en la isla Santa Cruz</w:t>
      </w:r>
      <w:r w:rsidR="00354906" w:rsidRPr="000F31CB">
        <w:rPr>
          <w:i/>
          <w:iCs/>
          <w:sz w:val="20"/>
          <w:szCs w:val="22"/>
          <w:lang w:val="es-EC"/>
        </w:rPr>
        <w:t>.</w:t>
      </w:r>
    </w:p>
    <w:p w14:paraId="472C29C6" w14:textId="77777777" w:rsidR="00D943F5" w:rsidRDefault="00FB23F2" w:rsidP="000F31CB">
      <w:pPr>
        <w:rPr>
          <w:lang w:val="es-EC"/>
        </w:rPr>
      </w:pPr>
      <w:r w:rsidRPr="0008200E">
        <w:rPr>
          <w:lang w:val="es-EC"/>
        </w:rPr>
        <w:t>A partir de esta comparación, se definieron las ventanas óptimas de carga y la potencia de recarga asociada a cada categoría vehicular, de manera consistente con los patrones de uso, la infraestructura disponible y los tiempos de permanencia fuera de operación. Esto permitió asegurar la viabilidad del perfil de operación diario sin comprometer la autonomía del vehículo.</w:t>
      </w:r>
    </w:p>
    <w:p w14:paraId="37A67A4E" w14:textId="7A55C324" w:rsidR="0008200E" w:rsidRPr="00D943F5" w:rsidRDefault="00D943F5" w:rsidP="00D943F5">
      <w:pPr>
        <w:ind w:firstLine="0"/>
        <w:jc w:val="center"/>
        <w:rPr>
          <w:lang w:val="es-EC"/>
        </w:rPr>
      </w:pPr>
      <w:r w:rsidRPr="00D943F5">
        <w:rPr>
          <w:b/>
          <w:bCs/>
          <w:lang w:val="es-EC"/>
        </w:rPr>
        <w:t xml:space="preserve">Tabla </w:t>
      </w:r>
      <w:r w:rsidRPr="00D943F5">
        <w:rPr>
          <w:b/>
          <w:bCs/>
          <w:lang w:val="es-EC"/>
        </w:rPr>
        <w:t>4</w:t>
      </w:r>
      <w:r w:rsidRPr="00D943F5">
        <w:rPr>
          <w:b/>
          <w:bCs/>
          <w:lang w:val="es-EC"/>
        </w:rPr>
        <w:t>.</w:t>
      </w:r>
      <w:r w:rsidRPr="00D943F5">
        <w:rPr>
          <w:lang w:val="es-EC"/>
        </w:rPr>
        <w:t xml:space="preserve"> Potencias de carga consideradas para cada categoría vehicular.</w:t>
      </w:r>
    </w:p>
    <w:tbl>
      <w:tblPr>
        <w:tblStyle w:val="TableGrid"/>
        <w:tblW w:w="0" w:type="auto"/>
        <w:jc w:val="center"/>
        <w:tblLook w:val="04A0" w:firstRow="1" w:lastRow="0" w:firstColumn="1" w:lastColumn="0" w:noHBand="0" w:noVBand="1"/>
      </w:tblPr>
      <w:tblGrid>
        <w:gridCol w:w="3738"/>
        <w:gridCol w:w="2637"/>
        <w:gridCol w:w="1843"/>
      </w:tblGrid>
      <w:tr w:rsidR="0008200E" w:rsidRPr="00A021D9" w14:paraId="6776B3B9" w14:textId="77777777" w:rsidTr="00D943F5">
        <w:trPr>
          <w:trHeight w:val="432"/>
          <w:jc w:val="center"/>
        </w:trPr>
        <w:tc>
          <w:tcPr>
            <w:tcW w:w="0" w:type="auto"/>
            <w:vAlign w:val="center"/>
            <w:hideMark/>
          </w:tcPr>
          <w:p w14:paraId="08AEDD61" w14:textId="77777777" w:rsidR="0008200E" w:rsidRPr="00A021D9" w:rsidRDefault="0008200E" w:rsidP="0008200E">
            <w:pPr>
              <w:spacing w:line="240" w:lineRule="auto"/>
              <w:ind w:firstLine="0"/>
              <w:jc w:val="center"/>
              <w:rPr>
                <w:rFonts w:eastAsia="Times New Roman" w:cs="Arial"/>
                <w:b/>
                <w:bCs/>
                <w:kern w:val="0"/>
                <w:szCs w:val="22"/>
                <w14:ligatures w14:val="none"/>
              </w:rPr>
            </w:pPr>
            <w:r w:rsidRPr="00A021D9">
              <w:rPr>
                <w:rFonts w:eastAsia="Times New Roman" w:cs="Arial"/>
                <w:b/>
                <w:bCs/>
                <w:kern w:val="0"/>
                <w:szCs w:val="22"/>
                <w14:ligatures w14:val="none"/>
              </w:rPr>
              <w:t>Categoría</w:t>
            </w:r>
          </w:p>
        </w:tc>
        <w:tc>
          <w:tcPr>
            <w:tcW w:w="0" w:type="auto"/>
            <w:vAlign w:val="center"/>
            <w:hideMark/>
          </w:tcPr>
          <w:p w14:paraId="376F79F3" w14:textId="77777777" w:rsidR="0008200E" w:rsidRPr="00A021D9" w:rsidRDefault="0008200E" w:rsidP="0008200E">
            <w:pPr>
              <w:spacing w:line="240" w:lineRule="auto"/>
              <w:ind w:firstLine="0"/>
              <w:jc w:val="center"/>
              <w:rPr>
                <w:rFonts w:eastAsia="Times New Roman" w:cs="Arial"/>
                <w:b/>
                <w:bCs/>
                <w:kern w:val="0"/>
                <w:szCs w:val="22"/>
                <w14:ligatures w14:val="none"/>
              </w:rPr>
            </w:pPr>
            <w:r w:rsidRPr="00A021D9">
              <w:rPr>
                <w:rFonts w:eastAsia="Times New Roman" w:cs="Arial"/>
                <w:b/>
                <w:bCs/>
                <w:kern w:val="0"/>
                <w:szCs w:val="22"/>
                <w14:ligatures w14:val="none"/>
              </w:rPr>
              <w:t>Potencia de carga (kW)</w:t>
            </w:r>
          </w:p>
        </w:tc>
        <w:tc>
          <w:tcPr>
            <w:tcW w:w="0" w:type="auto"/>
            <w:vAlign w:val="center"/>
            <w:hideMark/>
          </w:tcPr>
          <w:p w14:paraId="4AA64375" w14:textId="77777777" w:rsidR="0008200E" w:rsidRPr="00A021D9" w:rsidRDefault="0008200E" w:rsidP="0008200E">
            <w:pPr>
              <w:spacing w:line="240" w:lineRule="auto"/>
              <w:ind w:firstLine="0"/>
              <w:jc w:val="center"/>
              <w:rPr>
                <w:rFonts w:eastAsia="Times New Roman" w:cs="Arial"/>
                <w:b/>
                <w:bCs/>
                <w:kern w:val="0"/>
                <w:szCs w:val="22"/>
                <w14:ligatures w14:val="none"/>
              </w:rPr>
            </w:pPr>
            <w:r w:rsidRPr="00A021D9">
              <w:rPr>
                <w:rFonts w:eastAsia="Times New Roman" w:cs="Arial"/>
                <w:b/>
                <w:bCs/>
                <w:kern w:val="0"/>
                <w:szCs w:val="22"/>
                <w14:ligatures w14:val="none"/>
              </w:rPr>
              <w:t>Tipo de carga</w:t>
            </w:r>
          </w:p>
        </w:tc>
      </w:tr>
      <w:tr w:rsidR="0008200E" w:rsidRPr="00A021D9" w14:paraId="02B4EEF2" w14:textId="77777777" w:rsidTr="00D943F5">
        <w:trPr>
          <w:trHeight w:val="432"/>
          <w:jc w:val="center"/>
        </w:trPr>
        <w:tc>
          <w:tcPr>
            <w:tcW w:w="0" w:type="auto"/>
            <w:vAlign w:val="center"/>
            <w:hideMark/>
          </w:tcPr>
          <w:p w14:paraId="4FD9A057"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Micromovilidad</w:t>
            </w:r>
          </w:p>
        </w:tc>
        <w:tc>
          <w:tcPr>
            <w:tcW w:w="0" w:type="auto"/>
            <w:vAlign w:val="center"/>
            <w:hideMark/>
          </w:tcPr>
          <w:p w14:paraId="6AE9052A"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0.084</w:t>
            </w:r>
          </w:p>
        </w:tc>
        <w:tc>
          <w:tcPr>
            <w:tcW w:w="0" w:type="auto"/>
            <w:vAlign w:val="center"/>
            <w:hideMark/>
          </w:tcPr>
          <w:p w14:paraId="08781B1D"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Lenta</w:t>
            </w:r>
          </w:p>
        </w:tc>
      </w:tr>
      <w:tr w:rsidR="0008200E" w:rsidRPr="00A021D9" w14:paraId="2A8B9199" w14:textId="77777777" w:rsidTr="00D943F5">
        <w:trPr>
          <w:trHeight w:val="432"/>
          <w:jc w:val="center"/>
        </w:trPr>
        <w:tc>
          <w:tcPr>
            <w:tcW w:w="0" w:type="auto"/>
            <w:vAlign w:val="center"/>
            <w:hideMark/>
          </w:tcPr>
          <w:p w14:paraId="723F715C"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Motocicleta</w:t>
            </w:r>
          </w:p>
        </w:tc>
        <w:tc>
          <w:tcPr>
            <w:tcW w:w="0" w:type="auto"/>
            <w:vAlign w:val="center"/>
            <w:hideMark/>
          </w:tcPr>
          <w:p w14:paraId="06ECC027"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0.42</w:t>
            </w:r>
          </w:p>
        </w:tc>
        <w:tc>
          <w:tcPr>
            <w:tcW w:w="0" w:type="auto"/>
            <w:vAlign w:val="center"/>
            <w:hideMark/>
          </w:tcPr>
          <w:p w14:paraId="43944799"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Lenta</w:t>
            </w:r>
          </w:p>
        </w:tc>
      </w:tr>
      <w:tr w:rsidR="0008200E" w:rsidRPr="00A021D9" w14:paraId="5EC70BCF" w14:textId="77777777" w:rsidTr="00D943F5">
        <w:trPr>
          <w:trHeight w:val="432"/>
          <w:jc w:val="center"/>
        </w:trPr>
        <w:tc>
          <w:tcPr>
            <w:tcW w:w="0" w:type="auto"/>
            <w:vAlign w:val="center"/>
            <w:hideMark/>
          </w:tcPr>
          <w:p w14:paraId="475D6C54" w14:textId="77777777" w:rsidR="0008200E" w:rsidRPr="00A021D9" w:rsidRDefault="0008200E" w:rsidP="0008200E">
            <w:pPr>
              <w:spacing w:line="240" w:lineRule="auto"/>
              <w:ind w:firstLine="0"/>
              <w:jc w:val="center"/>
              <w:rPr>
                <w:rFonts w:eastAsia="Times New Roman" w:cs="Arial"/>
                <w:kern w:val="0"/>
                <w:szCs w:val="22"/>
                <w:lang w:val="es-EC"/>
                <w14:ligatures w14:val="none"/>
              </w:rPr>
            </w:pPr>
            <w:r w:rsidRPr="00A021D9">
              <w:rPr>
                <w:rFonts w:eastAsia="Times New Roman" w:cs="Arial"/>
                <w:kern w:val="0"/>
                <w:szCs w:val="22"/>
                <w:lang w:val="es-EC"/>
                <w14:ligatures w14:val="none"/>
              </w:rPr>
              <w:t>Vehículo liviano (SUV, Pickup, Taxi)</w:t>
            </w:r>
          </w:p>
        </w:tc>
        <w:tc>
          <w:tcPr>
            <w:tcW w:w="0" w:type="auto"/>
            <w:vAlign w:val="center"/>
            <w:hideMark/>
          </w:tcPr>
          <w:p w14:paraId="6611B2DF"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8.0</w:t>
            </w:r>
          </w:p>
        </w:tc>
        <w:tc>
          <w:tcPr>
            <w:tcW w:w="0" w:type="auto"/>
            <w:vAlign w:val="center"/>
            <w:hideMark/>
          </w:tcPr>
          <w:p w14:paraId="5008057A"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Residencial / AC</w:t>
            </w:r>
          </w:p>
        </w:tc>
      </w:tr>
      <w:tr w:rsidR="0008200E" w:rsidRPr="00A021D9" w14:paraId="62EB1A91" w14:textId="77777777" w:rsidTr="00D943F5">
        <w:trPr>
          <w:trHeight w:val="432"/>
          <w:jc w:val="center"/>
        </w:trPr>
        <w:tc>
          <w:tcPr>
            <w:tcW w:w="0" w:type="auto"/>
            <w:vAlign w:val="center"/>
            <w:hideMark/>
          </w:tcPr>
          <w:p w14:paraId="151CF305" w14:textId="77777777" w:rsidR="0008200E" w:rsidRPr="00A021D9" w:rsidRDefault="0008200E" w:rsidP="0008200E">
            <w:pPr>
              <w:spacing w:line="240" w:lineRule="auto"/>
              <w:ind w:firstLine="0"/>
              <w:jc w:val="center"/>
              <w:rPr>
                <w:rFonts w:eastAsia="Times New Roman" w:cs="Arial"/>
                <w:kern w:val="0"/>
                <w:szCs w:val="22"/>
                <w:lang w:val="es-EC"/>
                <w14:ligatures w14:val="none"/>
              </w:rPr>
            </w:pPr>
            <w:r w:rsidRPr="00A021D9">
              <w:rPr>
                <w:rFonts w:eastAsia="Times New Roman" w:cs="Arial"/>
                <w:kern w:val="0"/>
                <w:szCs w:val="22"/>
                <w:lang w:val="es-EC"/>
                <w14:ligatures w14:val="none"/>
              </w:rPr>
              <w:t>Vehículo pesado (Bus y Camión)</w:t>
            </w:r>
          </w:p>
        </w:tc>
        <w:tc>
          <w:tcPr>
            <w:tcW w:w="0" w:type="auto"/>
            <w:vAlign w:val="center"/>
            <w:hideMark/>
          </w:tcPr>
          <w:p w14:paraId="12A3D319"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50.0</w:t>
            </w:r>
          </w:p>
        </w:tc>
        <w:tc>
          <w:tcPr>
            <w:tcW w:w="0" w:type="auto"/>
            <w:vAlign w:val="center"/>
            <w:hideMark/>
          </w:tcPr>
          <w:p w14:paraId="31E6161D" w14:textId="77777777" w:rsidR="0008200E" w:rsidRPr="00A021D9" w:rsidRDefault="0008200E" w:rsidP="0008200E">
            <w:pPr>
              <w:spacing w:line="240" w:lineRule="auto"/>
              <w:ind w:firstLine="0"/>
              <w:jc w:val="center"/>
              <w:rPr>
                <w:rFonts w:eastAsia="Times New Roman" w:cs="Arial"/>
                <w:kern w:val="0"/>
                <w:szCs w:val="22"/>
                <w14:ligatures w14:val="none"/>
              </w:rPr>
            </w:pPr>
            <w:r w:rsidRPr="00A021D9">
              <w:rPr>
                <w:rFonts w:eastAsia="Times New Roman" w:cs="Arial"/>
                <w:kern w:val="0"/>
                <w:szCs w:val="22"/>
                <w14:ligatures w14:val="none"/>
              </w:rPr>
              <w:t>Semi-rápida DC</w:t>
            </w:r>
          </w:p>
        </w:tc>
      </w:tr>
    </w:tbl>
    <w:p w14:paraId="7608209D" w14:textId="77777777" w:rsidR="00405885" w:rsidRDefault="00405885" w:rsidP="000F31CB">
      <w:pPr>
        <w:rPr>
          <w:lang w:val="es-EC"/>
        </w:rPr>
      </w:pPr>
    </w:p>
    <w:p w14:paraId="065DFD87" w14:textId="608B3C5F" w:rsidR="00405885" w:rsidRPr="00405885" w:rsidRDefault="00405885" w:rsidP="00405885">
      <w:pPr>
        <w:rPr>
          <w:lang w:val="es-EC"/>
        </w:rPr>
      </w:pPr>
      <w:r w:rsidRPr="00405885">
        <w:rPr>
          <w:lang w:val="es-EC"/>
        </w:rPr>
        <w:t xml:space="preserve">Adicionalmente, para estimar de manera conservadora los requerimientos de energía y los tiempos de recarga, se asumió que únicamente </w:t>
      </w:r>
      <w:r w:rsidRPr="000241DC">
        <w:rPr>
          <w:lang w:val="es-EC"/>
        </w:rPr>
        <w:t>el 80 % de la capacidad nominal de la batería está disponible para</w:t>
      </w:r>
      <w:r w:rsidRPr="00405885">
        <w:rPr>
          <w:lang w:val="es-EC"/>
        </w:rPr>
        <w:t xml:space="preserve"> operación. Este supuesto considera las recomendaciones de </w:t>
      </w:r>
      <w:r w:rsidR="008C1379" w:rsidRPr="00405885">
        <w:rPr>
          <w:lang w:val="es-EC"/>
        </w:rPr>
        <w:t xml:space="preserve">las fabricantes </w:t>
      </w:r>
      <w:r w:rsidR="008C1379" w:rsidRPr="00405885">
        <w:rPr>
          <w:lang w:val="es-EC"/>
        </w:rPr>
        <w:lastRenderedPageBreak/>
        <w:t>orientadas</w:t>
      </w:r>
      <w:r w:rsidRPr="00405885">
        <w:rPr>
          <w:lang w:val="es-EC"/>
        </w:rPr>
        <w:t xml:space="preserve"> a evitar ciclos frecuentes de carga al 100 %, con el fin de preservar la vida útil de la batería.</w:t>
      </w:r>
    </w:p>
    <w:p w14:paraId="2FCF4624" w14:textId="5DF32993" w:rsidR="00FB23F2" w:rsidRPr="0008200E" w:rsidRDefault="00405885" w:rsidP="00A57706">
      <w:pPr>
        <w:rPr>
          <w:lang w:val="es-EC"/>
        </w:rPr>
      </w:pPr>
      <w:r w:rsidRPr="00405885">
        <w:rPr>
          <w:lang w:val="es-EC"/>
        </w:rPr>
        <w:t>Asimismo, se asumió que todos los vehículos realizan una sesión de carga cada noche. Aunque en la práctica algunos vehículos podrían requerir recarga únicamente algunos días de la semana, este supuesto permite simplificar el modelado sin alterar significativamente los resultados agregados. Desde una perspectiva estadística, no todos los vehículos estarán conectados simultáneamente, por lo que el efecto sobre la demanda total de carga resulta equivalente a considerar una distribución temporal de las recargas a lo largo de la semana.</w:t>
      </w:r>
    </w:p>
    <w:p w14:paraId="707CAB05" w14:textId="6F92294F" w:rsidR="00296F87" w:rsidRPr="00FB23F2" w:rsidRDefault="00A36B73" w:rsidP="007F462B">
      <w:pPr>
        <w:pStyle w:val="Heading2"/>
        <w:rPr>
          <w:lang w:val="es-EC"/>
        </w:rPr>
      </w:pPr>
      <w:r w:rsidRPr="00FB23F2">
        <w:rPr>
          <w:lang w:val="es-EC"/>
        </w:rPr>
        <w:t>Dimensionamiento</w:t>
      </w:r>
    </w:p>
    <w:p w14:paraId="70C56E13" w14:textId="77777777" w:rsidR="00F64D9E" w:rsidRDefault="00EF2044" w:rsidP="00F64D9E">
      <w:pPr>
        <w:rPr>
          <w:b/>
          <w:bCs/>
          <w:lang w:val="es-EC"/>
        </w:rPr>
      </w:pPr>
      <w:r w:rsidRPr="00EF2044">
        <w:rPr>
          <w:lang w:val="es-EC"/>
        </w:rPr>
        <w:t>Se generaron los perfiles diarios de actividad, potencia y estado de carga (SoC) para cada tipo de vehículo, de acuerdo con la clasificación previamente definida. A continuación, se presenta la gráfica completa del flujo energético para el caso de la Pick-Up, en la cual se incluye explícitamente la contribución de potencia proveniente de la red eléctrica durante los periodos de carga.</w:t>
      </w:r>
      <w:r w:rsidR="00F64D9E" w:rsidRPr="00F64D9E">
        <w:rPr>
          <w:b/>
          <w:bCs/>
          <w:lang w:val="es-EC"/>
        </w:rPr>
        <w:t xml:space="preserve"> </w:t>
      </w:r>
    </w:p>
    <w:p w14:paraId="20E76F1F" w14:textId="73E7F600" w:rsidR="00EF2044" w:rsidRPr="00F64D9E" w:rsidRDefault="00A579A6" w:rsidP="00E83060">
      <w:pPr>
        <w:ind w:firstLine="0"/>
        <w:rPr>
          <w:b/>
          <w:bCs/>
          <w:lang w:val="es-EC"/>
        </w:rPr>
      </w:pPr>
      <w:r w:rsidRPr="00A579A6">
        <w:rPr>
          <w:b/>
          <w:bCs/>
          <w:noProof/>
          <w:lang w:val="es-EC"/>
        </w:rPr>
        <w:drawing>
          <wp:inline distT="0" distB="0" distL="0" distR="0" wp14:anchorId="24D54FBE" wp14:editId="5B9678CF">
            <wp:extent cx="5943600" cy="2920365"/>
            <wp:effectExtent l="0" t="0" r="0" b="0"/>
            <wp:docPr id="20989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733" name=""/>
                    <pic:cNvPicPr/>
                  </pic:nvPicPr>
                  <pic:blipFill>
                    <a:blip r:embed="rId17"/>
                    <a:stretch>
                      <a:fillRect/>
                    </a:stretch>
                  </pic:blipFill>
                  <pic:spPr>
                    <a:xfrm>
                      <a:off x="0" y="0"/>
                      <a:ext cx="5943600" cy="2920365"/>
                    </a:xfrm>
                    <a:prstGeom prst="rect">
                      <a:avLst/>
                    </a:prstGeom>
                  </pic:spPr>
                </pic:pic>
              </a:graphicData>
            </a:graphic>
          </wp:inline>
        </w:drawing>
      </w:r>
    </w:p>
    <w:p w14:paraId="699EBE51" w14:textId="291412A0" w:rsidR="00EF2044" w:rsidRPr="00EF2044" w:rsidRDefault="00EF2044" w:rsidP="006D142C">
      <w:pPr>
        <w:ind w:firstLine="0"/>
        <w:jc w:val="center"/>
        <w:rPr>
          <w:i/>
          <w:iCs/>
        </w:rPr>
      </w:pPr>
      <w:r w:rsidRPr="00EF2044">
        <w:rPr>
          <w:b/>
          <w:bCs/>
          <w:i/>
          <w:iCs/>
        </w:rPr>
        <w:t xml:space="preserve">Figure </w:t>
      </w:r>
      <w:r w:rsidR="00F64D9E" w:rsidRPr="005F452B">
        <w:rPr>
          <w:b/>
          <w:bCs/>
          <w:i/>
          <w:iCs/>
        </w:rPr>
        <w:t>7</w:t>
      </w:r>
      <w:r w:rsidRPr="00EF2044">
        <w:rPr>
          <w:b/>
          <w:bCs/>
          <w:i/>
          <w:iCs/>
        </w:rPr>
        <w:t xml:space="preserve">. </w:t>
      </w:r>
      <w:r w:rsidRPr="00EF2044">
        <w:rPr>
          <w:i/>
          <w:iCs/>
        </w:rPr>
        <w:t>Daily energy flow of the electric pickup including grid power contribution</w:t>
      </w:r>
    </w:p>
    <w:p w14:paraId="7C7D8CAE" w14:textId="02C65EA8" w:rsidR="00204A42" w:rsidRPr="00204A42" w:rsidRDefault="00204A42" w:rsidP="00204A42">
      <w:pPr>
        <w:rPr>
          <w:lang w:val="es-EC"/>
        </w:rPr>
      </w:pPr>
      <w:r w:rsidRPr="00204A42">
        <w:rPr>
          <w:lang w:val="es-EC"/>
        </w:rPr>
        <w:t xml:space="preserve">Una vez obtenidos los perfiles individuales, se procedió a estimar la demanda energética agregada de la flota vehicular para cada escenario de transición. Para ello, se utilizaron las proyecciones de flota contenidas en el archivo </w:t>
      </w:r>
      <w:r w:rsidRPr="00204A42">
        <w:rPr>
          <w:i/>
          <w:iCs/>
          <w:lang w:val="es-EC"/>
        </w:rPr>
        <w:t>Prospectiva_Transporte_T_Galapagos.xlsx</w:t>
      </w:r>
      <w:r w:rsidRPr="00204A42">
        <w:rPr>
          <w:lang w:val="es-EC"/>
        </w:rPr>
        <w:t xml:space="preserve">, considerando las hojas </w:t>
      </w:r>
      <w:r w:rsidR="00C75188">
        <w:rPr>
          <w:lang w:val="es-EC"/>
        </w:rPr>
        <w:t xml:space="preserve">de flota </w:t>
      </w:r>
      <w:r w:rsidRPr="00204A42">
        <w:rPr>
          <w:lang w:val="es-EC"/>
        </w:rPr>
        <w:t>correspondientes a los escenarios Low, Medium y High.</w:t>
      </w:r>
    </w:p>
    <w:p w14:paraId="778AE3A5" w14:textId="77777777" w:rsidR="00204A42" w:rsidRPr="00204A42" w:rsidRDefault="00204A42" w:rsidP="00204A42">
      <w:pPr>
        <w:rPr>
          <w:lang w:val="es-EC"/>
        </w:rPr>
      </w:pPr>
      <w:r w:rsidRPr="00204A42">
        <w:rPr>
          <w:lang w:val="es-EC"/>
        </w:rPr>
        <w:lastRenderedPageBreak/>
        <w:t xml:space="preserve">Inicialmente, se calculó el perfil de carga diario de cada tipo de vehículo mediante el modelo dinámico desarrollado. Estos perfiles fueron considerados como plantillas representativas de consumo energético unitario y posteriormente utilizados en los tres escenarios analizados. De esta forma, las diferencias entre escenarios no provienen de cambios en el comportamiento operativo de los vehículos, sino de la </w:t>
      </w:r>
      <w:r w:rsidRPr="002C28EB">
        <w:rPr>
          <w:b/>
          <w:bCs/>
          <w:lang w:val="es-EC"/>
        </w:rPr>
        <w:t>evolución proyectada de la composición y tamaño de la flota.</w:t>
      </w:r>
    </w:p>
    <w:p w14:paraId="264C3BA3" w14:textId="77777777" w:rsidR="00204A42" w:rsidRPr="00204A42" w:rsidRDefault="00204A42" w:rsidP="00204A42">
      <w:pPr>
        <w:rPr>
          <w:lang w:val="es-EC"/>
        </w:rPr>
      </w:pPr>
      <w:r w:rsidRPr="00204A42">
        <w:rPr>
          <w:lang w:val="es-EC"/>
        </w:rPr>
        <w:t>Para vincular los resultados energéticos de los modelos vehiculares con las categorías de las bases de datos de prospectiva, se estableció la siguiente correspondencia:</w:t>
      </w:r>
    </w:p>
    <w:p w14:paraId="55989815" w14:textId="77777777" w:rsidR="00204A42" w:rsidRPr="00204A42" w:rsidRDefault="00204A42" w:rsidP="00204A42">
      <w:pPr>
        <w:numPr>
          <w:ilvl w:val="0"/>
          <w:numId w:val="8"/>
        </w:numPr>
      </w:pPr>
      <w:r w:rsidRPr="00204A42">
        <w:t>PickUp → Camioneta (taxi)-electrica</w:t>
      </w:r>
    </w:p>
    <w:p w14:paraId="5A0F3C7D" w14:textId="77777777" w:rsidR="00204A42" w:rsidRPr="00204A42" w:rsidRDefault="00204A42" w:rsidP="00204A42">
      <w:pPr>
        <w:numPr>
          <w:ilvl w:val="0"/>
          <w:numId w:val="8"/>
        </w:numPr>
      </w:pPr>
      <w:r w:rsidRPr="00204A42">
        <w:t>SUV → Vehículo eléctrico - electricidad</w:t>
      </w:r>
    </w:p>
    <w:p w14:paraId="15905F9B" w14:textId="77777777" w:rsidR="00204A42" w:rsidRPr="00204A42" w:rsidRDefault="00204A42" w:rsidP="00204A42">
      <w:pPr>
        <w:numPr>
          <w:ilvl w:val="0"/>
          <w:numId w:val="8"/>
        </w:numPr>
      </w:pPr>
      <w:r w:rsidRPr="00204A42">
        <w:t>Bus → Bus y furgoneta - electrica</w:t>
      </w:r>
    </w:p>
    <w:p w14:paraId="5EB068C4" w14:textId="77777777" w:rsidR="00204A42" w:rsidRPr="00204A42" w:rsidRDefault="00204A42" w:rsidP="00204A42">
      <w:pPr>
        <w:numPr>
          <w:ilvl w:val="0"/>
          <w:numId w:val="8"/>
        </w:numPr>
      </w:pPr>
      <w:r w:rsidRPr="00204A42">
        <w:t>Motorcycle → Motocicleta-electrica</w:t>
      </w:r>
    </w:p>
    <w:p w14:paraId="30B00E88" w14:textId="77777777" w:rsidR="00204A42" w:rsidRPr="00204A42" w:rsidRDefault="00204A42" w:rsidP="00204A42">
      <w:pPr>
        <w:numPr>
          <w:ilvl w:val="0"/>
          <w:numId w:val="8"/>
        </w:numPr>
      </w:pPr>
      <w:r w:rsidRPr="00204A42">
        <w:t>Micromobilidad → Micromo</w:t>
      </w:r>
    </w:p>
    <w:p w14:paraId="6D2A3D63" w14:textId="77777777" w:rsidR="00204A42" w:rsidRPr="00204A42" w:rsidRDefault="00204A42" w:rsidP="00204A42">
      <w:pPr>
        <w:numPr>
          <w:ilvl w:val="0"/>
          <w:numId w:val="8"/>
        </w:numPr>
        <w:rPr>
          <w:lang w:val="es-EC"/>
        </w:rPr>
      </w:pPr>
      <w:r w:rsidRPr="00204A42">
        <w:rPr>
          <w:lang w:val="es-EC"/>
        </w:rPr>
        <w:t>Heavy Truck → Camión- electrico + Especial (tanqueros, volquetas, etc.)-electrica</w:t>
      </w:r>
    </w:p>
    <w:p w14:paraId="360C41EA" w14:textId="7D40E18D" w:rsidR="00681FCB" w:rsidRPr="00681FCB" w:rsidRDefault="00204A42" w:rsidP="00681FCB">
      <w:pPr>
        <w:rPr>
          <w:lang w:val="es-EC"/>
        </w:rPr>
      </w:pPr>
      <w:r w:rsidRPr="00204A42">
        <w:rPr>
          <w:lang w:val="es-EC"/>
        </w:rPr>
        <w:t>Posteriormente, la demanda energética total fue obtenida mediante un proceso de escalamiento, multiplicando el consumo energético diario unitario de cada categoría vehicular por el número de vehículos proyectados para cada año y escenario. Matemáticamente, la demanda total de la flota se calculó como la suma de las contribuciones individuales de cada tecnología vehicular:</w:t>
      </w:r>
    </w:p>
    <w:p w14:paraId="56A811FA" w14:textId="3604BD11" w:rsidR="00681FCB" w:rsidRPr="00681FCB" w:rsidRDefault="00123334" w:rsidP="00681FCB">
      <w:pPr>
        <w:rPr>
          <w:rFonts w:eastAsiaTheme="minorEastAsia"/>
          <w:lang w:val="es-EC"/>
        </w:rPr>
      </w:pPr>
      <m:oMathPara>
        <m:oMath>
          <m:sSub>
            <m:sSubPr>
              <m:ctrlPr>
                <w:rPr>
                  <w:rFonts w:ascii="Cambria Math" w:hAnsi="Cambria Math"/>
                </w:rPr>
              </m:ctrlPr>
            </m:sSubPr>
            <m:e>
              <m:r>
                <w:rPr>
                  <w:rFonts w:ascii="Cambria Math" w:hAnsi="Cambria Math"/>
                </w:rPr>
                <m:t>E</m:t>
              </m:r>
            </m:e>
            <m:sub>
              <m:r>
                <w:rPr>
                  <w:rFonts w:ascii="Cambria Math" w:hAnsi="Cambria Math"/>
                </w:rPr>
                <m:t>fleet</m:t>
              </m:r>
            </m:sub>
          </m:sSub>
          <m:r>
            <w:rPr>
              <w:rFonts w:ascii="Cambria Math" w:hAnsi="Cambria Math"/>
            </w:rPr>
            <m:t>=</m:t>
          </m:r>
          <m:nary>
            <m:naryPr>
              <m:chr m:val="∑"/>
              <m:limLoc m:val="undOvr"/>
              <m:ctrlPr>
                <w:rPr>
                  <w:rFonts w:ascii="Cambria Math" w:hAnsi="Cambria Math"/>
                </w:rPr>
              </m:ctrlPr>
            </m:naryPr>
            <m:sub>
              <m:r>
                <w:rPr>
                  <w:rFonts w:ascii="Cambria Math" w:hAnsi="Cambria Math"/>
                </w:rPr>
                <m:t>v=1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v</m:t>
                  </m:r>
                </m:sub>
              </m:sSub>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v</m:t>
              </m:r>
            </m:sub>
          </m:sSub>
        </m:oMath>
      </m:oMathPara>
    </w:p>
    <w:p w14:paraId="086AE3F9" w14:textId="7B390CAC" w:rsidR="00204A42" w:rsidRPr="00204A42" w:rsidRDefault="00204A42" w:rsidP="00204A42">
      <w:pPr>
        <w:rPr>
          <w:lang w:val="es-EC"/>
        </w:rPr>
      </w:pPr>
      <w:r w:rsidRPr="00204A42">
        <w:rPr>
          <w:lang w:val="es-EC"/>
        </w:rPr>
        <w:t>donde (E_v) corresponde al consumo energético diario por vehículo de la categoría (v) y (N_v) representa el número de vehículos proyectados para dicha categoría.</w:t>
      </w:r>
    </w:p>
    <w:p w14:paraId="07B8753E" w14:textId="77777777" w:rsidR="00204A42" w:rsidRPr="00204A42" w:rsidRDefault="00204A42" w:rsidP="00204A42">
      <w:pPr>
        <w:rPr>
          <w:lang w:val="es-EC"/>
        </w:rPr>
      </w:pPr>
      <w:r w:rsidRPr="00204A42">
        <w:rPr>
          <w:lang w:val="es-EC"/>
        </w:rPr>
        <w:t>Con el objetivo de integrar los resultados al modelo OSeMOSYS-Galápagos, la demanda diaria agregada fue discretizada en ocho franjas horarias de tres horas cada una, permitiendo representar la distribución temporal de la carga eléctrica asociada a la movilidad. Para cada franja se calculó la energía total suministrada por la red, obteniéndose una matriz de demanda horaria para el periodo 2019–2050 y para cada uno de los escenarios considerados.</w:t>
      </w:r>
    </w:p>
    <w:p w14:paraId="4A767E53" w14:textId="71CC404E" w:rsidR="00204A42" w:rsidRPr="00204A42" w:rsidRDefault="00204A42" w:rsidP="00204A42">
      <w:pPr>
        <w:rPr>
          <w:lang w:val="es-EC"/>
        </w:rPr>
      </w:pPr>
      <w:r w:rsidRPr="00204A42">
        <w:rPr>
          <w:lang w:val="es-EC"/>
        </w:rPr>
        <w:lastRenderedPageBreak/>
        <w:t xml:space="preserve">La Figura </w:t>
      </w:r>
      <w:r w:rsidR="00CE006F">
        <w:rPr>
          <w:lang w:val="es-EC"/>
        </w:rPr>
        <w:t>8</w:t>
      </w:r>
      <w:r w:rsidRPr="00204A42">
        <w:rPr>
          <w:lang w:val="es-EC"/>
        </w:rPr>
        <w:t xml:space="preserve"> presenta la demanda energética agregada de la flota para el año 2026 bajo los escenarios Low, Medium y High, mostrando la distribución de la energía requerida en cada una de las ocho franjas horarias empleadas en el modelo energético.</w:t>
      </w:r>
    </w:p>
    <w:p w14:paraId="1AE56024" w14:textId="51C20DE9" w:rsidR="00204A42" w:rsidRDefault="001419A1" w:rsidP="006B4A91">
      <w:pPr>
        <w:ind w:firstLine="0"/>
        <w:rPr>
          <w:lang w:val="es-EC"/>
        </w:rPr>
      </w:pPr>
      <w:r w:rsidRPr="001419A1">
        <w:rPr>
          <w:noProof/>
          <w:lang w:val="es-EC"/>
        </w:rPr>
        <w:drawing>
          <wp:inline distT="0" distB="0" distL="0" distR="0" wp14:anchorId="1C9C90F8" wp14:editId="1487247B">
            <wp:extent cx="5943600" cy="2849880"/>
            <wp:effectExtent l="0" t="0" r="0" b="7620"/>
            <wp:docPr id="150639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92793" name=""/>
                    <pic:cNvPicPr/>
                  </pic:nvPicPr>
                  <pic:blipFill>
                    <a:blip r:embed="rId18"/>
                    <a:stretch>
                      <a:fillRect/>
                    </a:stretch>
                  </pic:blipFill>
                  <pic:spPr>
                    <a:xfrm>
                      <a:off x="0" y="0"/>
                      <a:ext cx="5943600" cy="2849880"/>
                    </a:xfrm>
                    <a:prstGeom prst="rect">
                      <a:avLst/>
                    </a:prstGeom>
                  </pic:spPr>
                </pic:pic>
              </a:graphicData>
            </a:graphic>
          </wp:inline>
        </w:drawing>
      </w:r>
    </w:p>
    <w:p w14:paraId="44F4CD42" w14:textId="5628F9E8" w:rsidR="006B4A91" w:rsidRPr="00B95636" w:rsidRDefault="006B4A91" w:rsidP="004C6218">
      <w:pPr>
        <w:ind w:firstLine="0"/>
        <w:jc w:val="center"/>
        <w:rPr>
          <w:i/>
          <w:iCs/>
          <w:lang w:val="es-EC"/>
        </w:rPr>
      </w:pPr>
      <w:r w:rsidRPr="00B95636">
        <w:rPr>
          <w:b/>
          <w:bCs/>
          <w:i/>
          <w:iCs/>
          <w:lang w:val="es-EC"/>
        </w:rPr>
        <w:t xml:space="preserve">Figura 8. </w:t>
      </w:r>
      <w:r w:rsidRPr="00B95636">
        <w:rPr>
          <w:i/>
          <w:iCs/>
          <w:lang w:val="es-EC"/>
        </w:rPr>
        <w:t>Demanda energética Flota Santa Cruz para 2026</w:t>
      </w:r>
    </w:p>
    <w:p w14:paraId="536B5C95" w14:textId="57EBAF80" w:rsidR="001419A1" w:rsidRPr="00B95636" w:rsidRDefault="00B95636" w:rsidP="004C6218">
      <w:pPr>
        <w:ind w:firstLine="0"/>
        <w:jc w:val="center"/>
        <w:rPr>
          <w:i/>
          <w:iCs/>
          <w:lang w:val="es-EC"/>
        </w:rPr>
      </w:pPr>
      <w:r w:rsidRPr="00B95636">
        <w:rPr>
          <w:b/>
          <w:bCs/>
          <w:i/>
          <w:iCs/>
          <w:lang w:val="es-EC"/>
        </w:rPr>
        <w:t>Tabla 3.</w:t>
      </w:r>
      <w:r w:rsidRPr="00B95636">
        <w:rPr>
          <w:i/>
          <w:iCs/>
          <w:lang w:val="es-EC"/>
        </w:rPr>
        <w:t xml:space="preserve"> Demanda energética diaria total de la flota vehicular electrificada en Santa Cruz para el año 2050</w:t>
      </w:r>
    </w:p>
    <w:tbl>
      <w:tblPr>
        <w:tblStyle w:val="TableGrid"/>
        <w:tblW w:w="0" w:type="auto"/>
        <w:jc w:val="center"/>
        <w:tblLook w:val="04A0" w:firstRow="1" w:lastRow="0" w:firstColumn="1" w:lastColumn="0" w:noHBand="0" w:noVBand="1"/>
      </w:tblPr>
      <w:tblGrid>
        <w:gridCol w:w="1806"/>
        <w:gridCol w:w="4128"/>
      </w:tblGrid>
      <w:tr w:rsidR="009F3044" w:rsidRPr="009C2649" w14:paraId="2DF30618" w14:textId="77777777" w:rsidTr="009F3044">
        <w:trPr>
          <w:jc w:val="center"/>
        </w:trPr>
        <w:tc>
          <w:tcPr>
            <w:tcW w:w="0" w:type="auto"/>
            <w:vAlign w:val="center"/>
            <w:hideMark/>
          </w:tcPr>
          <w:p w14:paraId="22F4395C" w14:textId="77777777" w:rsidR="009F3044" w:rsidRPr="00591884" w:rsidRDefault="009F3044" w:rsidP="009F3044">
            <w:pPr>
              <w:spacing w:after="160" w:line="278" w:lineRule="auto"/>
              <w:ind w:firstLine="0"/>
              <w:jc w:val="center"/>
              <w:rPr>
                <w:b/>
                <w:bCs/>
              </w:rPr>
            </w:pPr>
            <w:r w:rsidRPr="00591884">
              <w:rPr>
                <w:b/>
                <w:bCs/>
              </w:rPr>
              <w:t>Escenario</w:t>
            </w:r>
          </w:p>
        </w:tc>
        <w:tc>
          <w:tcPr>
            <w:tcW w:w="0" w:type="auto"/>
            <w:vAlign w:val="center"/>
            <w:hideMark/>
          </w:tcPr>
          <w:p w14:paraId="2AEF0080" w14:textId="77777777" w:rsidR="009F3044" w:rsidRPr="00591884" w:rsidRDefault="009F3044" w:rsidP="009F3044">
            <w:pPr>
              <w:spacing w:after="160" w:line="278" w:lineRule="auto"/>
              <w:ind w:firstLine="0"/>
              <w:jc w:val="center"/>
              <w:rPr>
                <w:b/>
                <w:bCs/>
                <w:lang w:val="es-EC"/>
              </w:rPr>
            </w:pPr>
            <w:r w:rsidRPr="00591884">
              <w:rPr>
                <w:b/>
                <w:bCs/>
                <w:lang w:val="es-EC"/>
              </w:rPr>
              <w:t>Demanda energética diaria (MWh/día)</w:t>
            </w:r>
          </w:p>
        </w:tc>
      </w:tr>
      <w:tr w:rsidR="009F3044" w:rsidRPr="00591884" w14:paraId="039FE1A9" w14:textId="77777777" w:rsidTr="009F3044">
        <w:trPr>
          <w:jc w:val="center"/>
        </w:trPr>
        <w:tc>
          <w:tcPr>
            <w:tcW w:w="0" w:type="auto"/>
            <w:vAlign w:val="center"/>
            <w:hideMark/>
          </w:tcPr>
          <w:p w14:paraId="5F3D8728" w14:textId="77777777" w:rsidR="009F3044" w:rsidRPr="00591884" w:rsidRDefault="009F3044" w:rsidP="009F3044">
            <w:pPr>
              <w:spacing w:after="160" w:line="278" w:lineRule="auto"/>
              <w:ind w:firstLine="0"/>
              <w:jc w:val="center"/>
            </w:pPr>
            <w:r w:rsidRPr="00591884">
              <w:t>Bajo (Low)</w:t>
            </w:r>
          </w:p>
        </w:tc>
        <w:tc>
          <w:tcPr>
            <w:tcW w:w="0" w:type="auto"/>
            <w:vAlign w:val="center"/>
            <w:hideMark/>
          </w:tcPr>
          <w:p w14:paraId="2B33F738" w14:textId="1305BCC5" w:rsidR="009F3044" w:rsidRPr="00591884" w:rsidRDefault="009F3044" w:rsidP="009F3044">
            <w:pPr>
              <w:spacing w:after="160" w:line="278" w:lineRule="auto"/>
              <w:ind w:firstLine="0"/>
              <w:jc w:val="center"/>
            </w:pPr>
            <w:r w:rsidRPr="00591884">
              <w:t>27.</w:t>
            </w:r>
            <w:r w:rsidR="004114BA">
              <w:t>51</w:t>
            </w:r>
          </w:p>
        </w:tc>
      </w:tr>
      <w:tr w:rsidR="009F3044" w:rsidRPr="00591884" w14:paraId="77487D34" w14:textId="77777777" w:rsidTr="009F3044">
        <w:trPr>
          <w:trHeight w:val="50"/>
          <w:jc w:val="center"/>
        </w:trPr>
        <w:tc>
          <w:tcPr>
            <w:tcW w:w="0" w:type="auto"/>
            <w:vAlign w:val="center"/>
            <w:hideMark/>
          </w:tcPr>
          <w:p w14:paraId="27A0BA5B" w14:textId="77777777" w:rsidR="009F3044" w:rsidRPr="00591884" w:rsidRDefault="009F3044" w:rsidP="009F3044">
            <w:pPr>
              <w:spacing w:after="160" w:line="278" w:lineRule="auto"/>
              <w:ind w:firstLine="0"/>
              <w:jc w:val="center"/>
            </w:pPr>
            <w:r w:rsidRPr="00591884">
              <w:t>Medio (Medium)</w:t>
            </w:r>
          </w:p>
        </w:tc>
        <w:tc>
          <w:tcPr>
            <w:tcW w:w="0" w:type="auto"/>
            <w:vAlign w:val="center"/>
            <w:hideMark/>
          </w:tcPr>
          <w:p w14:paraId="6D1C71D9" w14:textId="64565ED0" w:rsidR="009F3044" w:rsidRPr="00591884" w:rsidRDefault="009F3044" w:rsidP="009F3044">
            <w:pPr>
              <w:spacing w:after="160" w:line="278" w:lineRule="auto"/>
              <w:ind w:firstLine="0"/>
              <w:jc w:val="center"/>
            </w:pPr>
            <w:r w:rsidRPr="00591884">
              <w:t>5</w:t>
            </w:r>
            <w:r w:rsidR="004114BA">
              <w:t>3.08</w:t>
            </w:r>
          </w:p>
        </w:tc>
      </w:tr>
      <w:tr w:rsidR="009F3044" w:rsidRPr="00591884" w14:paraId="11DE0090" w14:textId="77777777" w:rsidTr="009F3044">
        <w:trPr>
          <w:jc w:val="center"/>
        </w:trPr>
        <w:tc>
          <w:tcPr>
            <w:tcW w:w="0" w:type="auto"/>
            <w:vAlign w:val="center"/>
            <w:hideMark/>
          </w:tcPr>
          <w:p w14:paraId="32F818F8" w14:textId="77777777" w:rsidR="009F3044" w:rsidRPr="00591884" w:rsidRDefault="009F3044" w:rsidP="009F3044">
            <w:pPr>
              <w:spacing w:after="160" w:line="278" w:lineRule="auto"/>
              <w:ind w:firstLine="0"/>
              <w:jc w:val="center"/>
            </w:pPr>
            <w:r w:rsidRPr="00591884">
              <w:t>Alto (High)</w:t>
            </w:r>
          </w:p>
        </w:tc>
        <w:tc>
          <w:tcPr>
            <w:tcW w:w="0" w:type="auto"/>
            <w:vAlign w:val="center"/>
            <w:hideMark/>
          </w:tcPr>
          <w:p w14:paraId="7F844F2A" w14:textId="6A2A44B2" w:rsidR="009F3044" w:rsidRPr="00591884" w:rsidRDefault="009F3044" w:rsidP="009F3044">
            <w:pPr>
              <w:spacing w:after="160" w:line="278" w:lineRule="auto"/>
              <w:ind w:firstLine="0"/>
              <w:jc w:val="center"/>
            </w:pPr>
            <w:r w:rsidRPr="00591884">
              <w:t>8</w:t>
            </w:r>
            <w:r w:rsidR="004114BA">
              <w:t>6.23</w:t>
            </w:r>
          </w:p>
        </w:tc>
      </w:tr>
    </w:tbl>
    <w:p w14:paraId="32EA6DA1" w14:textId="08209C99" w:rsidR="00591884" w:rsidRPr="00DF0671" w:rsidRDefault="00591884" w:rsidP="00591884">
      <w:pPr>
        <w:spacing w:line="278" w:lineRule="auto"/>
        <w:ind w:firstLine="0"/>
        <w:rPr>
          <w:lang w:val="es-EC"/>
        </w:rPr>
      </w:pPr>
    </w:p>
    <w:p w14:paraId="4A921C34" w14:textId="32F1FD21" w:rsidR="00DF0671" w:rsidRPr="00DF0671" w:rsidRDefault="00DF0671" w:rsidP="00DF0671">
      <w:pPr>
        <w:rPr>
          <w:lang w:val="es-EC"/>
        </w:rPr>
      </w:pPr>
      <w:r w:rsidRPr="00DF0671">
        <w:rPr>
          <w:lang w:val="es-EC"/>
        </w:rPr>
        <w:t xml:space="preserve">Los resultados muestran un incremento significativo en la demanda eléctrica asociada a la electrificación progresiva del sector transporte terrestre en la isla Santa Cruz. </w:t>
      </w:r>
    </w:p>
    <w:p w14:paraId="6250E316" w14:textId="77777777" w:rsidR="00DF0671" w:rsidRPr="00DF0671" w:rsidRDefault="00DF0671" w:rsidP="00DF0671">
      <w:pPr>
        <w:rPr>
          <w:lang w:val="es-EC"/>
        </w:rPr>
      </w:pPr>
      <w:r w:rsidRPr="00DF0671">
        <w:rPr>
          <w:lang w:val="es-EC"/>
        </w:rPr>
        <w:t>La diferencia entre escenarios se explica principalmente por el crecimiento proyectado de la flota eléctrica. Debido a que los perfiles de actividad, potencia y carga fueron mantenidos constantes para cada categoría vehicular, las variaciones observadas responden directamente al número de vehículos eléctricos incorporados en cada escenario. En consecuencia, la demanda energética total crece proporcionalmente al nivel de penetración de la movilidad eléctrica.</w:t>
      </w:r>
    </w:p>
    <w:p w14:paraId="5424A7EB" w14:textId="29389060" w:rsidR="00DF0671" w:rsidRPr="00DF0671" w:rsidRDefault="00DF0671" w:rsidP="00DF0671">
      <w:pPr>
        <w:rPr>
          <w:lang w:val="es-EC"/>
        </w:rPr>
      </w:pPr>
      <w:r w:rsidRPr="00DF0671">
        <w:rPr>
          <w:lang w:val="es-EC"/>
        </w:rPr>
        <w:lastRenderedPageBreak/>
        <w:t xml:space="preserve">Comparando los escenarios, la demanda del escenario medio es aproximadamente un 93 % superior a la del escenario bajo, mientras que el escenario alto presenta una demanda cercana a 3.1 veces la del escenario bajo. Estos resultados evidencian que la electrificación del transporte puede convertirse en uno de los principales impulsores del crecimiento de la demanda eléctrica en </w:t>
      </w:r>
      <w:r w:rsidR="00D75B37" w:rsidRPr="00DF0671">
        <w:rPr>
          <w:lang w:val="es-EC"/>
        </w:rPr>
        <w:t>las Galápagos</w:t>
      </w:r>
      <w:r w:rsidRPr="00DF0671">
        <w:rPr>
          <w:lang w:val="es-EC"/>
        </w:rPr>
        <w:t xml:space="preserve"> durante las próximas décadas.</w:t>
      </w:r>
    </w:p>
    <w:p w14:paraId="66245A78" w14:textId="24923262" w:rsidR="00D75B37" w:rsidRDefault="00DC1581" w:rsidP="00DC1581">
      <w:pPr>
        <w:pStyle w:val="Heading2"/>
        <w:rPr>
          <w:lang w:val="es-EC"/>
        </w:rPr>
      </w:pPr>
      <w:r>
        <w:rPr>
          <w:lang w:val="es-EC"/>
        </w:rPr>
        <w:t>OBSERVACIONES</w:t>
      </w:r>
    </w:p>
    <w:p w14:paraId="2104E07D" w14:textId="777A3D3F" w:rsidR="00E0694E" w:rsidRPr="00E0694E" w:rsidRDefault="00E0694E" w:rsidP="00E0694E">
      <w:pPr>
        <w:numPr>
          <w:ilvl w:val="0"/>
          <w:numId w:val="10"/>
        </w:numPr>
        <w:tabs>
          <w:tab w:val="num" w:pos="720"/>
        </w:tabs>
        <w:rPr>
          <w:lang w:val="es-EC"/>
        </w:rPr>
      </w:pPr>
      <w:r w:rsidRPr="00E0694E">
        <w:rPr>
          <w:lang w:val="es-EC"/>
        </w:rPr>
        <w:t xml:space="preserve">Los resultados de demanda energética obtenidos para la isla Santa Cruz fueron incorporados al archivo </w:t>
      </w:r>
      <w:r w:rsidRPr="00E0694E">
        <w:rPr>
          <w:i/>
          <w:iCs/>
          <w:lang w:val="es-EC"/>
        </w:rPr>
        <w:t>Prospectiva_Transporte_T_Galapagos.xlsx</w:t>
      </w:r>
      <w:r w:rsidRPr="00E0694E">
        <w:rPr>
          <w:lang w:val="es-EC"/>
        </w:rPr>
        <w:t>. Las tres últimas hojas del archivo corresponden a los escenarios Low, Medium y High, respectivamente. En cada una de ellas se presenta la proyección de la demanda eléctrica asociada al transporte terrestre hasta el año 2050, desagregada en ocho franjas horarias de tres horas cada una, siguiendo la estructura temporal requerida por el modelo OSeMOSYS.</w:t>
      </w:r>
    </w:p>
    <w:p w14:paraId="5324EAAF" w14:textId="77777777" w:rsidR="00E0694E" w:rsidRPr="00E0694E" w:rsidRDefault="00E0694E" w:rsidP="00E0694E">
      <w:pPr>
        <w:numPr>
          <w:ilvl w:val="0"/>
          <w:numId w:val="10"/>
        </w:numPr>
        <w:tabs>
          <w:tab w:val="num" w:pos="720"/>
        </w:tabs>
        <w:rPr>
          <w:lang w:val="es-EC"/>
        </w:rPr>
      </w:pPr>
      <w:r w:rsidRPr="00E0694E">
        <w:rPr>
          <w:lang w:val="es-EC"/>
        </w:rPr>
        <w:t>Tras analizar los resultados contenidos en el archivo de prospectiva, se observa que el indicador PKM (Passenger-Kilometers) presenta un incremento significativo en el escenario High respecto a los escenarios Low y Medium. Sin embargo, desde una perspectiva metodológica, se considera que la demanda de movilidad debería mantenerse relativamente constante entre escenarios, ya que representa una necesidad de transporte de la población y no una característica tecnológica. Bajo este enfoque, los distintos escenarios deberían reflejar cambios en la composición tecnológica de la flota, eficiencia energética y participación modal, pero no necesariamente incrementos en la actividad total medida en PKM</w:t>
      </w:r>
      <w:r w:rsidRPr="00754C0E">
        <w:rPr>
          <w:b/>
          <w:bCs/>
          <w:lang w:val="es-EC"/>
        </w:rPr>
        <w:t>. Se recomienda revisar los supuestos utilizado</w:t>
      </w:r>
      <w:r w:rsidRPr="00E0694E">
        <w:rPr>
          <w:lang w:val="es-EC"/>
        </w:rPr>
        <w:t>s para la proyección de la demanda de movilidad en cada escenario.</w:t>
      </w:r>
    </w:p>
    <w:p w14:paraId="4A4C1C28" w14:textId="60AA198E" w:rsidR="00E0694E" w:rsidRPr="00E0694E" w:rsidRDefault="00E0694E" w:rsidP="00E0694E">
      <w:pPr>
        <w:numPr>
          <w:ilvl w:val="0"/>
          <w:numId w:val="10"/>
        </w:numPr>
        <w:tabs>
          <w:tab w:val="num" w:pos="720"/>
        </w:tabs>
        <w:rPr>
          <w:lang w:val="es-EC"/>
        </w:rPr>
      </w:pPr>
      <w:r w:rsidRPr="00E0694E">
        <w:rPr>
          <w:lang w:val="es-EC"/>
        </w:rPr>
        <w:t xml:space="preserve">El análisis realizado también evidencia que no es </w:t>
      </w:r>
      <w:r w:rsidRPr="00754C0E">
        <w:rPr>
          <w:b/>
          <w:bCs/>
          <w:lang w:val="es-EC"/>
        </w:rPr>
        <w:t>recomendable extrapolar directamente los resultados obtenidos para Santa Cruz hacia las islas Isabela y San Cristóbal</w:t>
      </w:r>
      <w:r w:rsidRPr="00E0694E">
        <w:rPr>
          <w:lang w:val="es-EC"/>
        </w:rPr>
        <w:t xml:space="preserve"> mediante factores de escalamiento basados únicamente en el número de vehículos. Cada isla presenta características geográficas, topográficas y operativas distintas que afectan el consumo energético de los vehículos. Por esta razón, es necesario desarrollar perfiles de actividad específicos para cada isla, considerando variables como distancia máxima recorrida diariamente, distribución de viajes</w:t>
      </w:r>
      <w:r w:rsidR="00B475A8">
        <w:rPr>
          <w:lang w:val="es-EC"/>
        </w:rPr>
        <w:t xml:space="preserve"> </w:t>
      </w:r>
      <w:r w:rsidRPr="00E0694E">
        <w:rPr>
          <w:lang w:val="es-EC"/>
        </w:rPr>
        <w:t xml:space="preserve">y perfiles de elevación de las rutas más representativas. No obstante, la metodología y las herramientas desarrolladas se encuentran suficientemente automatizadas, por lo que la adaptación a nuevas islas requiere </w:t>
      </w:r>
      <w:r w:rsidR="00D10A8C">
        <w:rPr>
          <w:lang w:val="es-EC"/>
        </w:rPr>
        <w:t>únicamente</w:t>
      </w:r>
      <w:r w:rsidRPr="00E0694E">
        <w:rPr>
          <w:lang w:val="es-EC"/>
        </w:rPr>
        <w:t xml:space="preserve"> la actualización de los perfiles de actividad y rutas correspondientes.</w:t>
      </w:r>
    </w:p>
    <w:p w14:paraId="64E1098A" w14:textId="77777777" w:rsidR="00E0694E" w:rsidRPr="00E0694E" w:rsidRDefault="00E0694E" w:rsidP="00E0694E">
      <w:pPr>
        <w:numPr>
          <w:ilvl w:val="0"/>
          <w:numId w:val="10"/>
        </w:numPr>
        <w:tabs>
          <w:tab w:val="num" w:pos="720"/>
        </w:tabs>
        <w:rPr>
          <w:lang w:val="es-EC"/>
        </w:rPr>
      </w:pPr>
      <w:r w:rsidRPr="00E0694E">
        <w:rPr>
          <w:lang w:val="es-EC"/>
        </w:rPr>
        <w:lastRenderedPageBreak/>
        <w:t xml:space="preserve">Para la estimación de la demanda eléctrica se asumió que la infraestructura de recarga estará compuesta principalmente por </w:t>
      </w:r>
      <w:r w:rsidRPr="00FC6320">
        <w:rPr>
          <w:b/>
          <w:bCs/>
          <w:lang w:val="es-EC"/>
        </w:rPr>
        <w:t>cargadores lentos de nivel residencial o comercial</w:t>
      </w:r>
      <w:r w:rsidRPr="00E0694E">
        <w:rPr>
          <w:lang w:val="es-EC"/>
        </w:rPr>
        <w:t xml:space="preserve">, descartando la instalación masiva de cargadores semirrápidos. Esta decisión responde a criterios de realismo técnico y económico para el contexto de Galápagos, donde las distancias recorridas diariamente son relativamente reducidas y no justifican una infraestructura extensa de carga rápida. Adicionalmente, los cálculos fueron realizados considerando un límite operativo equivalente </w:t>
      </w:r>
      <w:r w:rsidRPr="00FC6320">
        <w:rPr>
          <w:b/>
          <w:bCs/>
          <w:lang w:val="es-EC"/>
        </w:rPr>
        <w:t>al 80% de la capacidad nominal de las baterías</w:t>
      </w:r>
      <w:r w:rsidRPr="00E0694E">
        <w:rPr>
          <w:lang w:val="es-EC"/>
        </w:rPr>
        <w:t>, criterio conservador que busca preservar su vida útil. Incluso bajo esta restricción, la autonomía disponible resulta suficiente para cubrir los máximos kilometrajes diarios identificados para cada categoría vehicular.</w:t>
      </w:r>
    </w:p>
    <w:p w14:paraId="40DA0C8F" w14:textId="4E434F13" w:rsidR="00744969" w:rsidRPr="00FD7AFA" w:rsidRDefault="00E0694E" w:rsidP="00FD7AFA">
      <w:pPr>
        <w:numPr>
          <w:ilvl w:val="0"/>
          <w:numId w:val="10"/>
        </w:numPr>
        <w:tabs>
          <w:tab w:val="num" w:pos="720"/>
        </w:tabs>
        <w:rPr>
          <w:lang w:val="es-EC"/>
        </w:rPr>
      </w:pPr>
      <w:r w:rsidRPr="00E0694E">
        <w:rPr>
          <w:lang w:val="es-EC"/>
        </w:rPr>
        <w:t>Finalmente, resulta importante documentar y justificar explícitamente los porcentajes de penetración tecnológica utilizados en los escenarios Low, Medium y High. Estos porcentajes constituyen uno de los principales determinantes de la demanda eléctrica futura y, por tanto, deben estar respaldados por criterios técnicos, políticas públicas, metas de descarbonización, restricciones regulatorias o referencias bibliográficas. Una adecuada justificación fortalecerá la trazabilidad de los resultados y permitirá evaluar con mayor claridad la plausibilidad de cada escenario de transición energética.</w:t>
      </w:r>
    </w:p>
    <w:p w14:paraId="3DD1C0F5" w14:textId="7B096812" w:rsidR="003C290D" w:rsidRPr="006B4A91" w:rsidRDefault="003C290D" w:rsidP="003C290D">
      <w:pPr>
        <w:rPr>
          <w:b/>
          <w:bCs/>
          <w:lang w:val="es-EC"/>
        </w:rPr>
      </w:pPr>
      <w:r w:rsidRPr="006B4A91">
        <w:rPr>
          <w:b/>
          <w:bCs/>
          <w:lang w:val="es-EC"/>
        </w:rPr>
        <w:t>REFERENCIAS</w:t>
      </w:r>
    </w:p>
    <w:p w14:paraId="32E4587D" w14:textId="2DFB9D54" w:rsidR="003C290D" w:rsidRDefault="47554B6E" w:rsidP="6F92B8E9">
      <w:pPr>
        <w:pStyle w:val="ListParagraph"/>
        <w:numPr>
          <w:ilvl w:val="0"/>
          <w:numId w:val="1"/>
        </w:numPr>
      </w:pPr>
      <w:r>
        <w:t xml:space="preserve">European Commission. (2019). </w:t>
      </w:r>
      <w:r w:rsidRPr="6F92B8E9">
        <w:rPr>
          <w:i/>
          <w:iCs/>
        </w:rPr>
        <w:t>Regulation (EU) 2019/631 of the European Parliament and of the Council of 17 April 2019 setting CO₂ emission performance standards for new passenger cars and for new light commercial vehicles</w:t>
      </w:r>
      <w:r>
        <w:t>. Official Journal of the European Union.</w:t>
      </w:r>
    </w:p>
    <w:p w14:paraId="7D2372F2" w14:textId="272ABBDE" w:rsidR="003C290D" w:rsidRPr="00114E67" w:rsidRDefault="47554B6E" w:rsidP="6F92B8E9">
      <w:pPr>
        <w:pStyle w:val="ListParagraph"/>
        <w:numPr>
          <w:ilvl w:val="0"/>
          <w:numId w:val="1"/>
        </w:numPr>
      </w:pPr>
      <w:r w:rsidRPr="00024518">
        <w:rPr>
          <w:lang w:val="es-EC"/>
        </w:rPr>
        <w:t xml:space="preserve">Nuez, I., Ruiz-García, A., &amp; Osorio, J. (2022). </w:t>
      </w:r>
      <w:r>
        <w:t xml:space="preserve">A comparative evaluation of CO₂ emissions between internal combustion and electric vehicles in small isolated electrical power systems: Case study of the Canary Islands. </w:t>
      </w:r>
      <w:r w:rsidRPr="6F92B8E9">
        <w:rPr>
          <w:i/>
          <w:iCs/>
        </w:rPr>
        <w:t>Journal of Cleaner Production, 369</w:t>
      </w:r>
      <w:r>
        <w:t>, 133252. https://doi.org/10.1016/j.jclepro.2022.133252</w:t>
      </w:r>
    </w:p>
    <w:p w14:paraId="28A96526" w14:textId="750E497A" w:rsidR="47554B6E" w:rsidRDefault="47554B6E" w:rsidP="6F92B8E9">
      <w:pPr>
        <w:pStyle w:val="ListParagraph"/>
        <w:numPr>
          <w:ilvl w:val="0"/>
          <w:numId w:val="1"/>
        </w:numPr>
        <w:rPr>
          <w:szCs w:val="22"/>
        </w:rPr>
      </w:pPr>
      <w:r w:rsidRPr="00024518">
        <w:rPr>
          <w:lang w:val="es-EC"/>
        </w:rPr>
        <w:t xml:space="preserve">Tsiakmakis, S., Fontaras, G., Cubito, C., Pavlovic, J., Anagnostopoulos, K., &amp; Ciuffo, B. (2017). </w:t>
      </w:r>
      <w:r w:rsidRPr="6F92B8E9">
        <w:rPr>
          <w:i/>
          <w:iCs/>
        </w:rPr>
        <w:t>From NEDC to WLTP: Effect on the type-approval CO₂ emissions of light-duty vehicles</w:t>
      </w:r>
      <w:r>
        <w:t xml:space="preserve">. Publications Office of the European Union. </w:t>
      </w:r>
      <w:hyperlink r:id="rId19">
        <w:r w:rsidRPr="6F92B8E9">
          <w:rPr>
            <w:rStyle w:val="Hyperlink"/>
          </w:rPr>
          <w:t>https://doi.org/10.2760/93419</w:t>
        </w:r>
      </w:hyperlink>
    </w:p>
    <w:p w14:paraId="5FC0F3D0" w14:textId="57535438" w:rsidR="6F92B8E9" w:rsidRDefault="6F92B8E9" w:rsidP="6F92B8E9">
      <w:pPr>
        <w:ind w:left="720" w:hanging="720"/>
      </w:pPr>
    </w:p>
    <w:p w14:paraId="5BBFC756" w14:textId="18BA7B73" w:rsidR="0F101EA7" w:rsidRDefault="0F101EA7" w:rsidP="6F92B8E9">
      <w:pPr>
        <w:pStyle w:val="ListParagraph"/>
        <w:numPr>
          <w:ilvl w:val="0"/>
          <w:numId w:val="1"/>
        </w:numPr>
      </w:pPr>
      <w:r>
        <w:lastRenderedPageBreak/>
        <w:t>Larminie, J., &amp; Lowry, J. (2012). Electric vehicle technology explained. John Wiley &amp; Sons.</w:t>
      </w:r>
    </w:p>
    <w:p w14:paraId="65E69008" w14:textId="41D71C35" w:rsidR="5196725D" w:rsidRDefault="5196725D" w:rsidP="6F92B8E9">
      <w:pPr>
        <w:pStyle w:val="ListParagraph"/>
        <w:numPr>
          <w:ilvl w:val="0"/>
          <w:numId w:val="1"/>
        </w:numPr>
      </w:pPr>
      <w:r>
        <w:t>Břoušek, J., &amp; Zvolský, T. (2018). Experimental study of electric vehicle gearbox efficiency. In MATEC web of conferences (Vol. 234, p. 02004). EDP Sciences.</w:t>
      </w:r>
    </w:p>
    <w:p w14:paraId="243B0BFD" w14:textId="77130C33" w:rsidR="5196725D" w:rsidRDefault="5196725D" w:rsidP="6F92B8E9">
      <w:pPr>
        <w:pStyle w:val="ListParagraph"/>
        <w:numPr>
          <w:ilvl w:val="0"/>
          <w:numId w:val="1"/>
        </w:numPr>
      </w:pPr>
      <w:r>
        <w:t>Redondo-Iglesias, E., &amp; Pelissier, S. (2022, November). On the efficiency of LFP lithium-ion batteries. In 2022 Second International Conference on Sustainable Mobility Applications, Renewables and Technology (SMART) (pp. 1-5). IEEE.</w:t>
      </w:r>
    </w:p>
    <w:p w14:paraId="41C1BD47" w14:textId="3FF1F05B" w:rsidR="6F92B8E9" w:rsidRDefault="6F92B8E9" w:rsidP="6F92B8E9">
      <w:pPr>
        <w:ind w:firstLine="0"/>
      </w:pPr>
    </w:p>
    <w:p w14:paraId="463B8493" w14:textId="77777777" w:rsidR="003C290D" w:rsidRDefault="003C290D" w:rsidP="003C290D">
      <w:pPr>
        <w:ind w:left="720" w:hanging="720"/>
      </w:pPr>
    </w:p>
    <w:p w14:paraId="44D38058" w14:textId="2C86EA56" w:rsidR="00FD7AFA" w:rsidRPr="00FD7AFA" w:rsidRDefault="00FD7AFA" w:rsidP="00FD7AFA">
      <w:pPr>
        <w:spacing w:line="278" w:lineRule="auto"/>
        <w:ind w:firstLine="0"/>
        <w:jc w:val="left"/>
      </w:pPr>
    </w:p>
    <w:sectPr w:rsidR="00FD7AFA" w:rsidRPr="00FD7AFA">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ías Leonardo Loayza Correa" w:date="2026-06-15T11:21:00Z" w:initials="ML">
    <w:p w14:paraId="6B4A6C9F" w14:textId="77777777" w:rsidR="00DF63C8" w:rsidRDefault="00DF63C8" w:rsidP="00E930B4">
      <w:pPr>
        <w:pStyle w:val="CommentText"/>
        <w:ind w:firstLine="0"/>
        <w:jc w:val="left"/>
      </w:pPr>
      <w:r>
        <w:rPr>
          <w:rStyle w:val="CommentReference"/>
        </w:rPr>
        <w:annotationRef/>
      </w:r>
      <w:r>
        <w:rPr>
          <w:lang w:val="es-EC"/>
        </w:rPr>
        <w:t>Cambiar Place por Low/Medium. Modo de conducción</w:t>
      </w:r>
    </w:p>
  </w:comment>
  <w:comment w:id="1" w:author="Matías Leonardo Loayza Correa" w:date="2026-06-15T11:25:00Z" w:initials="ML">
    <w:p w14:paraId="58109DC5" w14:textId="77777777" w:rsidR="00F00447" w:rsidRDefault="00F00447" w:rsidP="00F00447">
      <w:pPr>
        <w:pStyle w:val="CommentText"/>
        <w:ind w:firstLine="0"/>
        <w:jc w:val="left"/>
      </w:pPr>
      <w:r>
        <w:rPr>
          <w:rStyle w:val="CommentReference"/>
        </w:rPr>
        <w:annotationRef/>
      </w:r>
      <w:r>
        <w:rPr>
          <w:lang w:val="es-EC"/>
        </w:rPr>
        <w:t>Verificar si esta eficiencia incluye la transmisión</w:t>
      </w:r>
    </w:p>
  </w:comment>
  <w:comment w:id="2" w:author="Matías Leonardo Loayza Correa" w:date="2026-06-15T11:36:00Z" w:initials="ML">
    <w:p w14:paraId="1FE7F90A" w14:textId="77777777" w:rsidR="00644837" w:rsidRDefault="00644837" w:rsidP="00644837">
      <w:pPr>
        <w:pStyle w:val="CommentText"/>
        <w:ind w:firstLine="0"/>
        <w:jc w:val="left"/>
      </w:pPr>
      <w:r>
        <w:rPr>
          <w:rStyle w:val="CommentReference"/>
        </w:rPr>
        <w:annotationRef/>
      </w:r>
      <w:r>
        <w:rPr>
          <w:lang w:val="es-EC"/>
        </w:rPr>
        <w:t>Justificar que puede existir un caso en el que todos carguen el mismo dia, en vez de cargar un poquito al dia.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A6C9F" w15:done="0"/>
  <w15:commentEx w15:paraId="58109DC5" w15:done="0"/>
  <w15:commentEx w15:paraId="1FE7F9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E2CC9" w16cex:dateUtc="2026-06-15T16:21:00Z">
    <w16cex:extLst>
      <w16:ext w16:uri="{CE6994B0-6A32-4C9F-8C6B-6E91EDA988CE}">
        <cr:reactions xmlns:cr="http://schemas.microsoft.com/office/comments/2020/reactions">
          <cr:reaction reactionType="1">
            <cr:reactionInfo dateUtc="2026-06-23T20:37:10Z">
              <cr:user userId="0911a23179466804" userProvider="Windows Live" userName="Matías Leonardo Loayza Correa"/>
            </cr:reactionInfo>
          </cr:reaction>
        </cr:reactions>
      </w16:ext>
    </w16cex:extLst>
  </w16cex:commentExtensible>
  <w16cex:commentExtensible w16cex:durableId="71CB5FB4" w16cex:dateUtc="2026-06-15T16:25:00Z"/>
  <w16cex:commentExtensible w16cex:durableId="0DC7BB55" w16cex:dateUtc="2026-06-15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A6C9F" w16cid:durableId="1BCE2CC9"/>
  <w16cid:commentId w16cid:paraId="58109DC5" w16cid:durableId="71CB5FB4"/>
  <w16cid:commentId w16cid:paraId="1FE7F90A" w16cid:durableId="0DC7BB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70EB" w14:textId="77777777" w:rsidR="00123334" w:rsidRDefault="00123334" w:rsidP="00724204">
      <w:pPr>
        <w:spacing w:after="0" w:line="240" w:lineRule="auto"/>
      </w:pPr>
      <w:r>
        <w:separator/>
      </w:r>
    </w:p>
  </w:endnote>
  <w:endnote w:type="continuationSeparator" w:id="0">
    <w:p w14:paraId="5AB5DDC5" w14:textId="77777777" w:rsidR="00123334" w:rsidRDefault="00123334" w:rsidP="00724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146D38" w14:paraId="7754F4FB" w14:textId="77777777" w:rsidTr="7F146D38">
      <w:trPr>
        <w:trHeight w:val="300"/>
      </w:trPr>
      <w:tc>
        <w:tcPr>
          <w:tcW w:w="3120" w:type="dxa"/>
        </w:tcPr>
        <w:p w14:paraId="268D263A" w14:textId="313F7A09" w:rsidR="7F146D38" w:rsidRDefault="7F146D38" w:rsidP="7F146D38">
          <w:pPr>
            <w:pStyle w:val="Header"/>
            <w:ind w:left="-115"/>
            <w:jc w:val="left"/>
          </w:pPr>
        </w:p>
      </w:tc>
      <w:tc>
        <w:tcPr>
          <w:tcW w:w="3120" w:type="dxa"/>
        </w:tcPr>
        <w:p w14:paraId="17EAFA84" w14:textId="327AC574" w:rsidR="7F146D38" w:rsidRDefault="7F146D38" w:rsidP="7F146D38">
          <w:pPr>
            <w:pStyle w:val="Header"/>
            <w:jc w:val="center"/>
          </w:pPr>
        </w:p>
      </w:tc>
      <w:tc>
        <w:tcPr>
          <w:tcW w:w="3120" w:type="dxa"/>
        </w:tcPr>
        <w:p w14:paraId="137879C2" w14:textId="7773AD90" w:rsidR="7F146D38" w:rsidRDefault="7F146D38" w:rsidP="7F146D38">
          <w:pPr>
            <w:pStyle w:val="Header"/>
            <w:ind w:right="-115"/>
            <w:jc w:val="right"/>
          </w:pPr>
        </w:p>
      </w:tc>
    </w:tr>
  </w:tbl>
  <w:p w14:paraId="36368F33" w14:textId="096516D8" w:rsidR="7F146D38" w:rsidRDefault="7F146D38" w:rsidP="7F146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E0B3D" w14:textId="77777777" w:rsidR="00123334" w:rsidRDefault="00123334" w:rsidP="00724204">
      <w:pPr>
        <w:spacing w:after="0" w:line="240" w:lineRule="auto"/>
      </w:pPr>
      <w:r>
        <w:separator/>
      </w:r>
    </w:p>
  </w:footnote>
  <w:footnote w:type="continuationSeparator" w:id="0">
    <w:p w14:paraId="619784A6" w14:textId="77777777" w:rsidR="00123334" w:rsidRDefault="00123334" w:rsidP="00724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146D38" w14:paraId="16F4545D" w14:textId="77777777" w:rsidTr="7F146D38">
      <w:trPr>
        <w:trHeight w:val="300"/>
      </w:trPr>
      <w:tc>
        <w:tcPr>
          <w:tcW w:w="3120" w:type="dxa"/>
        </w:tcPr>
        <w:p w14:paraId="20701D62" w14:textId="1AF5AD10" w:rsidR="7F146D38" w:rsidRDefault="7F146D38" w:rsidP="7F146D38">
          <w:pPr>
            <w:pStyle w:val="Header"/>
            <w:ind w:left="-115"/>
            <w:jc w:val="left"/>
          </w:pPr>
        </w:p>
      </w:tc>
      <w:tc>
        <w:tcPr>
          <w:tcW w:w="3120" w:type="dxa"/>
        </w:tcPr>
        <w:p w14:paraId="746AF98F" w14:textId="4291C059" w:rsidR="7F146D38" w:rsidRDefault="7F146D38" w:rsidP="7F146D38">
          <w:pPr>
            <w:pStyle w:val="Header"/>
            <w:jc w:val="center"/>
          </w:pPr>
        </w:p>
      </w:tc>
      <w:tc>
        <w:tcPr>
          <w:tcW w:w="3120" w:type="dxa"/>
        </w:tcPr>
        <w:p w14:paraId="5CDAE5DD" w14:textId="599FE4C6" w:rsidR="7F146D38" w:rsidRDefault="7F146D38" w:rsidP="7F146D38">
          <w:pPr>
            <w:pStyle w:val="Header"/>
            <w:ind w:right="-115"/>
            <w:jc w:val="right"/>
          </w:pPr>
        </w:p>
      </w:tc>
    </w:tr>
  </w:tbl>
  <w:p w14:paraId="6BCE60B7" w14:textId="6056D0E2" w:rsidR="7F146D38" w:rsidRDefault="7F146D38" w:rsidP="7F146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74F7"/>
    <w:multiLevelType w:val="multilevel"/>
    <w:tmpl w:val="D694656C"/>
    <w:lvl w:ilvl="0">
      <w:start w:val="1"/>
      <w:numFmt w:val="decimal"/>
      <w:pStyle w:val="Heading1"/>
      <w:lvlText w:val="%1"/>
      <w:lvlJc w:val="left"/>
      <w:pPr>
        <w:ind w:left="432" w:hanging="432"/>
      </w:pPr>
      <w:rPr>
        <w:lang w:val="es-EC"/>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D9C74AA"/>
    <w:multiLevelType w:val="multilevel"/>
    <w:tmpl w:val="E16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33848"/>
    <w:multiLevelType w:val="multilevel"/>
    <w:tmpl w:val="B98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51DB1"/>
    <w:multiLevelType w:val="hybridMultilevel"/>
    <w:tmpl w:val="AC2C8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BB2A07"/>
    <w:multiLevelType w:val="hybridMultilevel"/>
    <w:tmpl w:val="7D4EBCA4"/>
    <w:lvl w:ilvl="0" w:tplc="DD9AFDA2">
      <w:start w:val="1"/>
      <w:numFmt w:val="decimal"/>
      <w:pStyle w:val="Heading2"/>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06EE23"/>
    <w:multiLevelType w:val="hybridMultilevel"/>
    <w:tmpl w:val="28827C1C"/>
    <w:lvl w:ilvl="0" w:tplc="B6CE70F0">
      <w:start w:val="1"/>
      <w:numFmt w:val="decimal"/>
      <w:lvlText w:val="(%1)"/>
      <w:lvlJc w:val="left"/>
      <w:pPr>
        <w:ind w:left="1080" w:hanging="360"/>
      </w:pPr>
    </w:lvl>
    <w:lvl w:ilvl="1" w:tplc="1820098C">
      <w:start w:val="1"/>
      <w:numFmt w:val="lowerLetter"/>
      <w:lvlText w:val="%2."/>
      <w:lvlJc w:val="left"/>
      <w:pPr>
        <w:ind w:left="1800" w:hanging="360"/>
      </w:pPr>
    </w:lvl>
    <w:lvl w:ilvl="2" w:tplc="86F4AD3C">
      <w:start w:val="1"/>
      <w:numFmt w:val="lowerRoman"/>
      <w:lvlText w:val="%3."/>
      <w:lvlJc w:val="right"/>
      <w:pPr>
        <w:ind w:left="2520" w:hanging="180"/>
      </w:pPr>
    </w:lvl>
    <w:lvl w:ilvl="3" w:tplc="5406F3F2">
      <w:start w:val="1"/>
      <w:numFmt w:val="decimal"/>
      <w:lvlText w:val="%4."/>
      <w:lvlJc w:val="left"/>
      <w:pPr>
        <w:ind w:left="3240" w:hanging="360"/>
      </w:pPr>
    </w:lvl>
    <w:lvl w:ilvl="4" w:tplc="3F2A91B6">
      <w:start w:val="1"/>
      <w:numFmt w:val="lowerLetter"/>
      <w:lvlText w:val="%5."/>
      <w:lvlJc w:val="left"/>
      <w:pPr>
        <w:ind w:left="3960" w:hanging="360"/>
      </w:pPr>
    </w:lvl>
    <w:lvl w:ilvl="5" w:tplc="7B701628">
      <w:start w:val="1"/>
      <w:numFmt w:val="lowerRoman"/>
      <w:lvlText w:val="%6."/>
      <w:lvlJc w:val="right"/>
      <w:pPr>
        <w:ind w:left="4680" w:hanging="180"/>
      </w:pPr>
    </w:lvl>
    <w:lvl w:ilvl="6" w:tplc="5A2A7890">
      <w:start w:val="1"/>
      <w:numFmt w:val="decimal"/>
      <w:lvlText w:val="%7."/>
      <w:lvlJc w:val="left"/>
      <w:pPr>
        <w:ind w:left="5400" w:hanging="360"/>
      </w:pPr>
    </w:lvl>
    <w:lvl w:ilvl="7" w:tplc="A70E300E">
      <w:start w:val="1"/>
      <w:numFmt w:val="lowerLetter"/>
      <w:lvlText w:val="%8."/>
      <w:lvlJc w:val="left"/>
      <w:pPr>
        <w:ind w:left="6120" w:hanging="360"/>
      </w:pPr>
    </w:lvl>
    <w:lvl w:ilvl="8" w:tplc="06A085F8">
      <w:start w:val="1"/>
      <w:numFmt w:val="lowerRoman"/>
      <w:lvlText w:val="%9."/>
      <w:lvlJc w:val="right"/>
      <w:pPr>
        <w:ind w:left="6840" w:hanging="180"/>
      </w:pPr>
    </w:lvl>
  </w:abstractNum>
  <w:abstractNum w:abstractNumId="6" w15:restartNumberingAfterBreak="0">
    <w:nsid w:val="65466BED"/>
    <w:multiLevelType w:val="hybridMultilevel"/>
    <w:tmpl w:val="4F38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45654E"/>
    <w:multiLevelType w:val="multilevel"/>
    <w:tmpl w:val="35B60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94074367">
    <w:abstractNumId w:val="5"/>
  </w:num>
  <w:num w:numId="2" w16cid:durableId="1453862948">
    <w:abstractNumId w:val="0"/>
  </w:num>
  <w:num w:numId="3" w16cid:durableId="1048989592">
    <w:abstractNumId w:val="2"/>
  </w:num>
  <w:num w:numId="4" w16cid:durableId="2104564172">
    <w:abstractNumId w:val="4"/>
  </w:num>
  <w:num w:numId="5" w16cid:durableId="917404966">
    <w:abstractNumId w:val="6"/>
  </w:num>
  <w:num w:numId="6" w16cid:durableId="1034578473">
    <w:abstractNumId w:val="4"/>
    <w:lvlOverride w:ilvl="0">
      <w:startOverride w:val="1"/>
    </w:lvlOverride>
  </w:num>
  <w:num w:numId="7" w16cid:durableId="1049182538">
    <w:abstractNumId w:val="4"/>
    <w:lvlOverride w:ilvl="0">
      <w:startOverride w:val="1"/>
    </w:lvlOverride>
  </w:num>
  <w:num w:numId="8" w16cid:durableId="512107267">
    <w:abstractNumId w:val="1"/>
  </w:num>
  <w:num w:numId="9" w16cid:durableId="730814194">
    <w:abstractNumId w:val="3"/>
  </w:num>
  <w:num w:numId="10" w16cid:durableId="20872639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ías Leonardo Loayza Correa">
    <w15:presenceInfo w15:providerId="Windows Live" w15:userId="0911a23179466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0D"/>
    <w:rsid w:val="000124DD"/>
    <w:rsid w:val="00016660"/>
    <w:rsid w:val="000241DC"/>
    <w:rsid w:val="00024518"/>
    <w:rsid w:val="00067DA6"/>
    <w:rsid w:val="0007190F"/>
    <w:rsid w:val="00074659"/>
    <w:rsid w:val="00077845"/>
    <w:rsid w:val="00080768"/>
    <w:rsid w:val="0008200E"/>
    <w:rsid w:val="00085461"/>
    <w:rsid w:val="000A71D5"/>
    <w:rsid w:val="000B4E93"/>
    <w:rsid w:val="000C75BA"/>
    <w:rsid w:val="000D2CA0"/>
    <w:rsid w:val="000D33A3"/>
    <w:rsid w:val="000D7658"/>
    <w:rsid w:val="000E48F1"/>
    <w:rsid w:val="000E710C"/>
    <w:rsid w:val="000E7240"/>
    <w:rsid w:val="000F31CB"/>
    <w:rsid w:val="000F3365"/>
    <w:rsid w:val="00121D57"/>
    <w:rsid w:val="00122188"/>
    <w:rsid w:val="00123334"/>
    <w:rsid w:val="00126F04"/>
    <w:rsid w:val="00140000"/>
    <w:rsid w:val="001419A1"/>
    <w:rsid w:val="00142292"/>
    <w:rsid w:val="00147759"/>
    <w:rsid w:val="0015054A"/>
    <w:rsid w:val="0015204D"/>
    <w:rsid w:val="001673C4"/>
    <w:rsid w:val="00177BE3"/>
    <w:rsid w:val="001821BB"/>
    <w:rsid w:val="001A56BF"/>
    <w:rsid w:val="001B70C2"/>
    <w:rsid w:val="001C673F"/>
    <w:rsid w:val="001F11EC"/>
    <w:rsid w:val="001F17B5"/>
    <w:rsid w:val="001F4DED"/>
    <w:rsid w:val="00204A42"/>
    <w:rsid w:val="00205EB5"/>
    <w:rsid w:val="00252EEA"/>
    <w:rsid w:val="00260D48"/>
    <w:rsid w:val="00263336"/>
    <w:rsid w:val="00267D9C"/>
    <w:rsid w:val="00281095"/>
    <w:rsid w:val="00293083"/>
    <w:rsid w:val="00296F87"/>
    <w:rsid w:val="00297A20"/>
    <w:rsid w:val="002A0D99"/>
    <w:rsid w:val="002A2995"/>
    <w:rsid w:val="002A63A2"/>
    <w:rsid w:val="002B2C25"/>
    <w:rsid w:val="002B3ED9"/>
    <w:rsid w:val="002C28EB"/>
    <w:rsid w:val="002C3F60"/>
    <w:rsid w:val="002E5586"/>
    <w:rsid w:val="002F0649"/>
    <w:rsid w:val="00304537"/>
    <w:rsid w:val="00305A0A"/>
    <w:rsid w:val="00311B20"/>
    <w:rsid w:val="003129AA"/>
    <w:rsid w:val="00327807"/>
    <w:rsid w:val="0033507E"/>
    <w:rsid w:val="003369F2"/>
    <w:rsid w:val="0033785A"/>
    <w:rsid w:val="003509CA"/>
    <w:rsid w:val="00354906"/>
    <w:rsid w:val="003638A2"/>
    <w:rsid w:val="003650B7"/>
    <w:rsid w:val="00375E96"/>
    <w:rsid w:val="00382D13"/>
    <w:rsid w:val="00395A43"/>
    <w:rsid w:val="003C044A"/>
    <w:rsid w:val="003C290D"/>
    <w:rsid w:val="003C2EE1"/>
    <w:rsid w:val="003D15A2"/>
    <w:rsid w:val="003D3ACF"/>
    <w:rsid w:val="003E20F5"/>
    <w:rsid w:val="00405885"/>
    <w:rsid w:val="004114BA"/>
    <w:rsid w:val="00437E94"/>
    <w:rsid w:val="00446348"/>
    <w:rsid w:val="00450D39"/>
    <w:rsid w:val="004513D5"/>
    <w:rsid w:val="0046038F"/>
    <w:rsid w:val="004869A1"/>
    <w:rsid w:val="004C6218"/>
    <w:rsid w:val="004D40C5"/>
    <w:rsid w:val="004D40CE"/>
    <w:rsid w:val="004E3DDA"/>
    <w:rsid w:val="004F0AAF"/>
    <w:rsid w:val="00507D1F"/>
    <w:rsid w:val="00520713"/>
    <w:rsid w:val="005652C4"/>
    <w:rsid w:val="00584FC6"/>
    <w:rsid w:val="00591884"/>
    <w:rsid w:val="0059642D"/>
    <w:rsid w:val="005A2A37"/>
    <w:rsid w:val="005B41C4"/>
    <w:rsid w:val="005B6851"/>
    <w:rsid w:val="005C1EFB"/>
    <w:rsid w:val="005C6AB0"/>
    <w:rsid w:val="005D607F"/>
    <w:rsid w:val="005F3FFE"/>
    <w:rsid w:val="005F452B"/>
    <w:rsid w:val="005F4896"/>
    <w:rsid w:val="005F4A20"/>
    <w:rsid w:val="005F56FA"/>
    <w:rsid w:val="0060075F"/>
    <w:rsid w:val="006031B7"/>
    <w:rsid w:val="00603619"/>
    <w:rsid w:val="00625D7A"/>
    <w:rsid w:val="00636D87"/>
    <w:rsid w:val="00641B8C"/>
    <w:rsid w:val="00644837"/>
    <w:rsid w:val="00670200"/>
    <w:rsid w:val="00681FCB"/>
    <w:rsid w:val="006A6344"/>
    <w:rsid w:val="006B4A91"/>
    <w:rsid w:val="006B525F"/>
    <w:rsid w:val="006B6B4D"/>
    <w:rsid w:val="006C6C3A"/>
    <w:rsid w:val="006C7E22"/>
    <w:rsid w:val="006D142C"/>
    <w:rsid w:val="006E78E7"/>
    <w:rsid w:val="006F7A8A"/>
    <w:rsid w:val="0070400E"/>
    <w:rsid w:val="00710BB4"/>
    <w:rsid w:val="00711E01"/>
    <w:rsid w:val="00720F86"/>
    <w:rsid w:val="00724204"/>
    <w:rsid w:val="00744969"/>
    <w:rsid w:val="0074700E"/>
    <w:rsid w:val="00754C0E"/>
    <w:rsid w:val="0076051A"/>
    <w:rsid w:val="00762029"/>
    <w:rsid w:val="00767F22"/>
    <w:rsid w:val="00774076"/>
    <w:rsid w:val="007833D1"/>
    <w:rsid w:val="007865ED"/>
    <w:rsid w:val="00794FAF"/>
    <w:rsid w:val="007A0D6C"/>
    <w:rsid w:val="007A4C94"/>
    <w:rsid w:val="007A70DF"/>
    <w:rsid w:val="007F462B"/>
    <w:rsid w:val="00801664"/>
    <w:rsid w:val="00806645"/>
    <w:rsid w:val="00822BE9"/>
    <w:rsid w:val="008244AC"/>
    <w:rsid w:val="00834C97"/>
    <w:rsid w:val="00842F80"/>
    <w:rsid w:val="00843E8E"/>
    <w:rsid w:val="0085241E"/>
    <w:rsid w:val="00862DC6"/>
    <w:rsid w:val="008662BD"/>
    <w:rsid w:val="00870EE5"/>
    <w:rsid w:val="00872C72"/>
    <w:rsid w:val="00884CF8"/>
    <w:rsid w:val="008874FF"/>
    <w:rsid w:val="008B1919"/>
    <w:rsid w:val="008B6E32"/>
    <w:rsid w:val="008C1379"/>
    <w:rsid w:val="008C5593"/>
    <w:rsid w:val="00911DFA"/>
    <w:rsid w:val="00913D70"/>
    <w:rsid w:val="00915467"/>
    <w:rsid w:val="009164F3"/>
    <w:rsid w:val="009214EB"/>
    <w:rsid w:val="009225CE"/>
    <w:rsid w:val="00924127"/>
    <w:rsid w:val="00931E50"/>
    <w:rsid w:val="009327D3"/>
    <w:rsid w:val="00941B1F"/>
    <w:rsid w:val="00945459"/>
    <w:rsid w:val="0095167C"/>
    <w:rsid w:val="00966A09"/>
    <w:rsid w:val="0098046E"/>
    <w:rsid w:val="00991CF7"/>
    <w:rsid w:val="009A0C9E"/>
    <w:rsid w:val="009A7261"/>
    <w:rsid w:val="009A7625"/>
    <w:rsid w:val="009B3188"/>
    <w:rsid w:val="009C2649"/>
    <w:rsid w:val="009C5275"/>
    <w:rsid w:val="009C7EAC"/>
    <w:rsid w:val="009D3DF1"/>
    <w:rsid w:val="009E2F74"/>
    <w:rsid w:val="009F3044"/>
    <w:rsid w:val="009F3B95"/>
    <w:rsid w:val="009F492A"/>
    <w:rsid w:val="00A021D9"/>
    <w:rsid w:val="00A1130F"/>
    <w:rsid w:val="00A36B73"/>
    <w:rsid w:val="00A434CD"/>
    <w:rsid w:val="00A501DD"/>
    <w:rsid w:val="00A54064"/>
    <w:rsid w:val="00A57706"/>
    <w:rsid w:val="00A57716"/>
    <w:rsid w:val="00A579A6"/>
    <w:rsid w:val="00A716AB"/>
    <w:rsid w:val="00A90DA8"/>
    <w:rsid w:val="00A91D6E"/>
    <w:rsid w:val="00AA2A9C"/>
    <w:rsid w:val="00AA6B0D"/>
    <w:rsid w:val="00AB461B"/>
    <w:rsid w:val="00AB4A17"/>
    <w:rsid w:val="00AC45A4"/>
    <w:rsid w:val="00AD5BFE"/>
    <w:rsid w:val="00AE38B4"/>
    <w:rsid w:val="00AE641D"/>
    <w:rsid w:val="00AF635D"/>
    <w:rsid w:val="00AF674B"/>
    <w:rsid w:val="00B15D12"/>
    <w:rsid w:val="00B3561F"/>
    <w:rsid w:val="00B4410B"/>
    <w:rsid w:val="00B475A8"/>
    <w:rsid w:val="00B53E64"/>
    <w:rsid w:val="00B60A42"/>
    <w:rsid w:val="00B6410D"/>
    <w:rsid w:val="00B664F4"/>
    <w:rsid w:val="00B672A7"/>
    <w:rsid w:val="00B70A3F"/>
    <w:rsid w:val="00B8484E"/>
    <w:rsid w:val="00B95636"/>
    <w:rsid w:val="00BC0256"/>
    <w:rsid w:val="00BC64CA"/>
    <w:rsid w:val="00BD3A5F"/>
    <w:rsid w:val="00BE5443"/>
    <w:rsid w:val="00BF2038"/>
    <w:rsid w:val="00C0267B"/>
    <w:rsid w:val="00C12551"/>
    <w:rsid w:val="00C141F4"/>
    <w:rsid w:val="00C36D28"/>
    <w:rsid w:val="00C438EE"/>
    <w:rsid w:val="00C615C0"/>
    <w:rsid w:val="00C6774A"/>
    <w:rsid w:val="00C74B58"/>
    <w:rsid w:val="00C75188"/>
    <w:rsid w:val="00C92FEF"/>
    <w:rsid w:val="00C93876"/>
    <w:rsid w:val="00C94E45"/>
    <w:rsid w:val="00CA5712"/>
    <w:rsid w:val="00CB3C50"/>
    <w:rsid w:val="00CB4B4D"/>
    <w:rsid w:val="00CB7577"/>
    <w:rsid w:val="00CC1FAB"/>
    <w:rsid w:val="00CD182C"/>
    <w:rsid w:val="00CD2676"/>
    <w:rsid w:val="00CD2D17"/>
    <w:rsid w:val="00CD30E9"/>
    <w:rsid w:val="00CD485E"/>
    <w:rsid w:val="00CE006F"/>
    <w:rsid w:val="00CF22E9"/>
    <w:rsid w:val="00CF4B52"/>
    <w:rsid w:val="00CF7154"/>
    <w:rsid w:val="00D061B5"/>
    <w:rsid w:val="00D10A8C"/>
    <w:rsid w:val="00D26A6F"/>
    <w:rsid w:val="00D26EC3"/>
    <w:rsid w:val="00D43A66"/>
    <w:rsid w:val="00D4607D"/>
    <w:rsid w:val="00D70AA1"/>
    <w:rsid w:val="00D75B37"/>
    <w:rsid w:val="00D75FB0"/>
    <w:rsid w:val="00D8614E"/>
    <w:rsid w:val="00D943F5"/>
    <w:rsid w:val="00DA1C50"/>
    <w:rsid w:val="00DB1DD2"/>
    <w:rsid w:val="00DB2AB7"/>
    <w:rsid w:val="00DC1581"/>
    <w:rsid w:val="00DC3A48"/>
    <w:rsid w:val="00DD1320"/>
    <w:rsid w:val="00DE7515"/>
    <w:rsid w:val="00DF0671"/>
    <w:rsid w:val="00DF53C9"/>
    <w:rsid w:val="00DF63C8"/>
    <w:rsid w:val="00E0694E"/>
    <w:rsid w:val="00E120E0"/>
    <w:rsid w:val="00E56521"/>
    <w:rsid w:val="00E61CFC"/>
    <w:rsid w:val="00E83060"/>
    <w:rsid w:val="00E930B4"/>
    <w:rsid w:val="00EA264B"/>
    <w:rsid w:val="00EC57D2"/>
    <w:rsid w:val="00EE02F4"/>
    <w:rsid w:val="00EE3606"/>
    <w:rsid w:val="00EE7CFE"/>
    <w:rsid w:val="00EF2044"/>
    <w:rsid w:val="00F002BF"/>
    <w:rsid w:val="00F00447"/>
    <w:rsid w:val="00F121FE"/>
    <w:rsid w:val="00F248A9"/>
    <w:rsid w:val="00F36E86"/>
    <w:rsid w:val="00F41000"/>
    <w:rsid w:val="00F41E17"/>
    <w:rsid w:val="00F64D9E"/>
    <w:rsid w:val="00F650AC"/>
    <w:rsid w:val="00FB23F2"/>
    <w:rsid w:val="00FB349F"/>
    <w:rsid w:val="00FC6320"/>
    <w:rsid w:val="00FD201B"/>
    <w:rsid w:val="00FD2FBF"/>
    <w:rsid w:val="00FD7AFA"/>
    <w:rsid w:val="00FE6620"/>
    <w:rsid w:val="0327CBEB"/>
    <w:rsid w:val="05079142"/>
    <w:rsid w:val="0A788C43"/>
    <w:rsid w:val="0C0A573B"/>
    <w:rsid w:val="0F101EA7"/>
    <w:rsid w:val="11CA8BF7"/>
    <w:rsid w:val="211F86B4"/>
    <w:rsid w:val="229F4F26"/>
    <w:rsid w:val="26C37AB1"/>
    <w:rsid w:val="28A3FA0E"/>
    <w:rsid w:val="28E07F14"/>
    <w:rsid w:val="29B45EEF"/>
    <w:rsid w:val="2A08E34B"/>
    <w:rsid w:val="2B5B44BE"/>
    <w:rsid w:val="2B5DDBF8"/>
    <w:rsid w:val="2F1FBACA"/>
    <w:rsid w:val="30E6153B"/>
    <w:rsid w:val="373A324A"/>
    <w:rsid w:val="3C7D621C"/>
    <w:rsid w:val="3DB95759"/>
    <w:rsid w:val="3E52209B"/>
    <w:rsid w:val="47554B6E"/>
    <w:rsid w:val="509DC296"/>
    <w:rsid w:val="5196725D"/>
    <w:rsid w:val="668FA0FD"/>
    <w:rsid w:val="68D50B77"/>
    <w:rsid w:val="69423B12"/>
    <w:rsid w:val="6B43FB88"/>
    <w:rsid w:val="6D369235"/>
    <w:rsid w:val="6D9AE145"/>
    <w:rsid w:val="6EEDBBA7"/>
    <w:rsid w:val="6F92B8E9"/>
    <w:rsid w:val="71BF6055"/>
    <w:rsid w:val="757DEDB9"/>
    <w:rsid w:val="768D4563"/>
    <w:rsid w:val="76E93550"/>
    <w:rsid w:val="7F146D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752A3"/>
  <w15:chartTrackingRefBased/>
  <w15:docId w15:val="{6D809C4E-BB29-4AB6-8C36-5771DD4E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46E"/>
    <w:pPr>
      <w:spacing w:line="360" w:lineRule="auto"/>
      <w:ind w:firstLine="720"/>
      <w:jc w:val="both"/>
    </w:pPr>
    <w:rPr>
      <w:rFonts w:ascii="Arial" w:hAnsi="Arial"/>
      <w:sz w:val="22"/>
    </w:rPr>
  </w:style>
  <w:style w:type="paragraph" w:styleId="Heading1">
    <w:name w:val="heading 1"/>
    <w:basedOn w:val="Normal"/>
    <w:next w:val="Normal"/>
    <w:link w:val="Heading1Char"/>
    <w:uiPriority w:val="9"/>
    <w:qFormat/>
    <w:rsid w:val="00BC0256"/>
    <w:pPr>
      <w:keepNext/>
      <w:keepLines/>
      <w:pageBreakBefore/>
      <w:numPr>
        <w:numId w:val="2"/>
      </w:numPr>
      <w:spacing w:after="240"/>
      <w:ind w:left="431" w:hanging="431"/>
      <w:outlineLvl w:val="0"/>
    </w:pPr>
    <w:rPr>
      <w:rFonts w:ascii="Times New Roman" w:eastAsiaTheme="majorEastAsia" w:hAnsi="Times New Roman" w:cstheme="majorBidi"/>
      <w:b/>
      <w:caps/>
      <w:sz w:val="28"/>
      <w:szCs w:val="32"/>
      <w:lang w:val="es-ES_tradnl"/>
    </w:rPr>
  </w:style>
  <w:style w:type="paragraph" w:styleId="Heading2">
    <w:name w:val="heading 2"/>
    <w:basedOn w:val="Normal"/>
    <w:next w:val="Normal"/>
    <w:link w:val="Heading2Char"/>
    <w:uiPriority w:val="9"/>
    <w:unhideWhenUsed/>
    <w:qFormat/>
    <w:rsid w:val="00913D70"/>
    <w:pPr>
      <w:keepNext/>
      <w:keepLines/>
      <w:numPr>
        <w:numId w:val="4"/>
      </w:numPr>
      <w:spacing w:before="280" w:after="20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3C2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56"/>
    <w:rPr>
      <w:rFonts w:ascii="Times New Roman" w:eastAsiaTheme="majorEastAsia" w:hAnsi="Times New Roman" w:cstheme="majorBidi"/>
      <w:b/>
      <w:caps/>
      <w:sz w:val="28"/>
      <w:szCs w:val="32"/>
      <w:lang w:val="es-ES_tradnl"/>
    </w:rPr>
  </w:style>
  <w:style w:type="character" w:customStyle="1" w:styleId="Heading2Char">
    <w:name w:val="Heading 2 Char"/>
    <w:basedOn w:val="DefaultParagraphFont"/>
    <w:link w:val="Heading2"/>
    <w:uiPriority w:val="9"/>
    <w:rsid w:val="00913D70"/>
    <w:rPr>
      <w:rFonts w:ascii="Arial" w:eastAsiaTheme="majorEastAsia" w:hAnsi="Arial" w:cstheme="majorBidi"/>
      <w:b/>
      <w:color w:val="000000" w:themeColor="text1"/>
      <w:sz w:val="22"/>
      <w:szCs w:val="32"/>
    </w:rPr>
  </w:style>
  <w:style w:type="character" w:customStyle="1" w:styleId="Heading3Char">
    <w:name w:val="Heading 3 Char"/>
    <w:basedOn w:val="DefaultParagraphFont"/>
    <w:link w:val="Heading3"/>
    <w:uiPriority w:val="9"/>
    <w:semiHidden/>
    <w:rsid w:val="003C2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90D"/>
    <w:rPr>
      <w:rFonts w:eastAsiaTheme="majorEastAsia" w:cstheme="majorBidi"/>
      <w:color w:val="272727" w:themeColor="text1" w:themeTint="D8"/>
    </w:rPr>
  </w:style>
  <w:style w:type="paragraph" w:styleId="Title">
    <w:name w:val="Title"/>
    <w:basedOn w:val="Normal"/>
    <w:next w:val="Normal"/>
    <w:link w:val="TitleChar"/>
    <w:uiPriority w:val="10"/>
    <w:qFormat/>
    <w:rsid w:val="003C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0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90D"/>
    <w:pPr>
      <w:spacing w:before="160"/>
      <w:jc w:val="center"/>
    </w:pPr>
    <w:rPr>
      <w:i/>
      <w:iCs/>
      <w:color w:val="404040" w:themeColor="text1" w:themeTint="BF"/>
    </w:rPr>
  </w:style>
  <w:style w:type="character" w:customStyle="1" w:styleId="QuoteChar">
    <w:name w:val="Quote Char"/>
    <w:basedOn w:val="DefaultParagraphFont"/>
    <w:link w:val="Quote"/>
    <w:uiPriority w:val="29"/>
    <w:rsid w:val="003C290D"/>
    <w:rPr>
      <w:i/>
      <w:iCs/>
      <w:color w:val="404040" w:themeColor="text1" w:themeTint="BF"/>
    </w:rPr>
  </w:style>
  <w:style w:type="paragraph" w:styleId="ListParagraph">
    <w:name w:val="List Paragraph"/>
    <w:basedOn w:val="Normal"/>
    <w:uiPriority w:val="34"/>
    <w:qFormat/>
    <w:rsid w:val="003C290D"/>
    <w:pPr>
      <w:ind w:left="720"/>
      <w:contextualSpacing/>
    </w:pPr>
  </w:style>
  <w:style w:type="character" w:styleId="IntenseEmphasis">
    <w:name w:val="Intense Emphasis"/>
    <w:basedOn w:val="DefaultParagraphFont"/>
    <w:uiPriority w:val="21"/>
    <w:qFormat/>
    <w:rsid w:val="003C290D"/>
    <w:rPr>
      <w:i/>
      <w:iCs/>
      <w:color w:val="0F4761" w:themeColor="accent1" w:themeShade="BF"/>
    </w:rPr>
  </w:style>
  <w:style w:type="paragraph" w:styleId="IntenseQuote">
    <w:name w:val="Intense Quote"/>
    <w:basedOn w:val="Normal"/>
    <w:next w:val="Normal"/>
    <w:link w:val="IntenseQuoteChar"/>
    <w:uiPriority w:val="30"/>
    <w:qFormat/>
    <w:rsid w:val="003C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90D"/>
    <w:rPr>
      <w:i/>
      <w:iCs/>
      <w:color w:val="0F4761" w:themeColor="accent1" w:themeShade="BF"/>
    </w:rPr>
  </w:style>
  <w:style w:type="character" w:styleId="IntenseReference">
    <w:name w:val="Intense Reference"/>
    <w:basedOn w:val="DefaultParagraphFont"/>
    <w:uiPriority w:val="32"/>
    <w:qFormat/>
    <w:rsid w:val="003C290D"/>
    <w:rPr>
      <w:b/>
      <w:bCs/>
      <w:smallCaps/>
      <w:color w:val="0F4761" w:themeColor="accent1" w:themeShade="BF"/>
      <w:spacing w:val="5"/>
    </w:rPr>
  </w:style>
  <w:style w:type="table" w:styleId="TableGrid">
    <w:name w:val="Table Grid"/>
    <w:basedOn w:val="TableNormal"/>
    <w:uiPriority w:val="39"/>
    <w:rsid w:val="006B6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B6B4D"/>
    <w:pPr>
      <w:spacing w:after="0" w:line="240" w:lineRule="auto"/>
      <w:ind w:firstLine="720"/>
    </w:pPr>
    <w:rPr>
      <w:rFonts w:ascii="Arial" w:hAnsi="Arial"/>
      <w:sz w:val="22"/>
    </w:rPr>
  </w:style>
  <w:style w:type="paragraph" w:styleId="Header">
    <w:name w:val="header"/>
    <w:basedOn w:val="Normal"/>
    <w:link w:val="HeaderChar"/>
    <w:uiPriority w:val="99"/>
    <w:unhideWhenUsed/>
    <w:rsid w:val="00724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204"/>
    <w:rPr>
      <w:rFonts w:ascii="Arial" w:hAnsi="Arial"/>
      <w:sz w:val="22"/>
    </w:rPr>
  </w:style>
  <w:style w:type="paragraph" w:styleId="Footer">
    <w:name w:val="footer"/>
    <w:basedOn w:val="Normal"/>
    <w:link w:val="FooterChar"/>
    <w:uiPriority w:val="99"/>
    <w:unhideWhenUsed/>
    <w:rsid w:val="00724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204"/>
    <w:rPr>
      <w:rFonts w:ascii="Arial" w:hAnsi="Arial"/>
      <w:sz w:val="22"/>
    </w:rPr>
  </w:style>
  <w:style w:type="paragraph" w:styleId="NormalWeb">
    <w:name w:val="Normal (Web)"/>
    <w:basedOn w:val="Normal"/>
    <w:uiPriority w:val="99"/>
    <w:semiHidden/>
    <w:unhideWhenUsed/>
    <w:rsid w:val="00DB1DD2"/>
    <w:pPr>
      <w:spacing w:before="100" w:beforeAutospacing="1" w:after="100" w:afterAutospacing="1" w:line="240" w:lineRule="auto"/>
      <w:ind w:firstLine="0"/>
      <w:jc w:val="left"/>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unhideWhenUsed/>
    <w:rsid w:val="6F92B8E9"/>
    <w:rPr>
      <w:color w:val="467886"/>
      <w:u w:val="single"/>
    </w:rPr>
  </w:style>
  <w:style w:type="character" w:styleId="PlaceholderText">
    <w:name w:val="Placeholder Text"/>
    <w:basedOn w:val="DefaultParagraphFont"/>
    <w:uiPriority w:val="99"/>
    <w:semiHidden/>
    <w:rsid w:val="00681FCB"/>
    <w:rPr>
      <w:color w:val="666666"/>
    </w:rPr>
  </w:style>
  <w:style w:type="character" w:styleId="CommentReference">
    <w:name w:val="annotation reference"/>
    <w:basedOn w:val="DefaultParagraphFont"/>
    <w:uiPriority w:val="99"/>
    <w:semiHidden/>
    <w:unhideWhenUsed/>
    <w:rsid w:val="00E930B4"/>
    <w:rPr>
      <w:sz w:val="16"/>
      <w:szCs w:val="16"/>
    </w:rPr>
  </w:style>
  <w:style w:type="paragraph" w:styleId="CommentText">
    <w:name w:val="annotation text"/>
    <w:basedOn w:val="Normal"/>
    <w:link w:val="CommentTextChar"/>
    <w:uiPriority w:val="99"/>
    <w:unhideWhenUsed/>
    <w:rsid w:val="00E930B4"/>
    <w:pPr>
      <w:spacing w:line="240" w:lineRule="auto"/>
    </w:pPr>
    <w:rPr>
      <w:sz w:val="20"/>
      <w:szCs w:val="20"/>
    </w:rPr>
  </w:style>
  <w:style w:type="character" w:customStyle="1" w:styleId="CommentTextChar">
    <w:name w:val="Comment Text Char"/>
    <w:basedOn w:val="DefaultParagraphFont"/>
    <w:link w:val="CommentText"/>
    <w:uiPriority w:val="99"/>
    <w:rsid w:val="00E930B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30B4"/>
    <w:rPr>
      <w:b/>
      <w:bCs/>
    </w:rPr>
  </w:style>
  <w:style w:type="character" w:customStyle="1" w:styleId="CommentSubjectChar">
    <w:name w:val="Comment Subject Char"/>
    <w:basedOn w:val="CommentTextChar"/>
    <w:link w:val="CommentSubject"/>
    <w:uiPriority w:val="99"/>
    <w:semiHidden/>
    <w:rsid w:val="00E930B4"/>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2760/93419"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DDF1C-B692-47D4-B635-F49D19911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15</Pages>
  <Words>3591</Words>
  <Characters>20473</Characters>
  <Application>Microsoft Office Word</Application>
  <DocSecurity>0</DocSecurity>
  <Lines>170</Lines>
  <Paragraphs>48</Paragraphs>
  <ScaleCrop>false</ScaleCrop>
  <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Leonardo Loayza Correa</dc:creator>
  <cp:keywords/>
  <dc:description/>
  <cp:lastModifiedBy>Matías Leonardo Loayza Correa</cp:lastModifiedBy>
  <cp:revision>285</cp:revision>
  <dcterms:created xsi:type="dcterms:W3CDTF">2026-04-14T18:00:00Z</dcterms:created>
  <dcterms:modified xsi:type="dcterms:W3CDTF">2026-06-23T22:39:00Z</dcterms:modified>
</cp:coreProperties>
</file>