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60"/>
        <w:jc w:val="center"/>
      </w:pPr>
      <w:r>
        <w:rPr>
          <w:rFonts w:ascii="Calibri" w:cs="Calibri" w:eastAsia="Calibri" w:hAnsi="Calibri"/>
          <w:b/>
          <w:bCs/>
          <w:color w:val="1F4E79"/>
          <w:sz w:val="24"/>
          <w:szCs w:val="24"/>
        </w:rPr>
        <w:t xml:space="preserve">INSTITUCIÓN UNIVERSITARIA EAM</w:t>
      </w:r>
    </w:p>
    <w:p>
      <w:pPr>
        <w:spacing w:after="600"/>
        <w:jc w:val="center"/>
      </w:pPr>
      <w:r>
        <w:rPr>
          <w:rFonts w:ascii="Calibri" w:cs="Calibri" w:eastAsia="Calibri" w:hAnsi="Calibri"/>
          <w:color w:val="595959"/>
          <w:sz w:val="20"/>
          <w:szCs w:val="20"/>
        </w:rPr>
        <w:t xml:space="preserve">Programa de Ingeniería de Software  |  Desarrollo en Equipo  |  Semestre VIII</w:t>
      </w:r>
    </w:p>
    <w:p>
      <w:pPr>
        <w:spacing w:after="160"/>
        <w:jc w:val="center"/>
      </w:pPr>
      <w:r>
        <w:rPr>
          <w:rFonts w:ascii="Calibri" w:cs="Calibri" w:eastAsia="Calibri" w:hAnsi="Calibri"/>
          <w:b/>
          <w:bCs/>
          <w:color w:val="1F4E79"/>
          <w:sz w:val="44"/>
          <w:szCs w:val="44"/>
        </w:rPr>
        <w:t xml:space="preserve">HISTORIAS DE USUARIO Y REQUERIMIENTOS</w:t>
      </w:r>
    </w:p>
    <w:p>
      <w:pPr>
        <w:spacing w:after="800"/>
        <w:jc w:val="center"/>
      </w:pPr>
      <w:r>
        <w:rPr>
          <w:rFonts w:ascii="Calibri" w:cs="Calibri" w:eastAsia="Calibri" w:hAnsi="Calibri"/>
          <w:color w:val="404040"/>
          <w:sz w:val="26"/>
          <w:szCs w:val="26"/>
        </w:rPr>
        <w:t xml:space="preserve">Especificación funcional del MVP de la aplicación móvil</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6680"/>
      </w:tblGrid>
      <w:tr>
        <w:tc>
          <w:tcPr>
            <w:tcW w:type="dxa" w:w="3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Caso asignado</w:t>
            </w:r>
          </w:p>
        </w:tc>
        <w:tc>
          <w:tcPr>
            <w:tcW w:type="dxa" w:w="6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Caso 10 - Monokera</w:t>
            </w:r>
          </w:p>
        </w:tc>
      </w:tr>
      <w:tr>
        <w:tc>
          <w:tcPr>
            <w:tcW w:type="dxa" w:w="3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Fase</w:t>
            </w:r>
          </w:p>
        </w:tc>
        <w:tc>
          <w:tcPr>
            <w:tcW w:type="dxa" w:w="6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Fase Técnica 1: Análisis</w:t>
            </w:r>
          </w:p>
        </w:tc>
      </w:tr>
      <w:tr>
        <w:tc>
          <w:tcPr>
            <w:tcW w:type="dxa" w:w="3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Líder de fase</w:t>
            </w:r>
          </w:p>
        </w:tc>
        <w:tc>
          <w:tcPr>
            <w:tcW w:type="dxa" w:w="6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Santiago Arias Mosquera</w:t>
            </w:r>
          </w:p>
        </w:tc>
      </w:tr>
      <w:tr>
        <w:tc>
          <w:tcPr>
            <w:tcW w:type="dxa" w:w="3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Versión del documento</w:t>
            </w:r>
          </w:p>
        </w:tc>
        <w:tc>
          <w:tcPr>
            <w:tcW w:type="dxa" w:w="6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1.0</w:t>
            </w:r>
          </w:p>
        </w:tc>
      </w:tr>
      <w:tr>
        <w:tc>
          <w:tcPr>
            <w:tcW w:type="dxa" w:w="3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Fecha de elaboración</w:t>
            </w:r>
          </w:p>
        </w:tc>
        <w:tc>
          <w:tcPr>
            <w:tcW w:type="dxa" w:w="6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17 de septiembre de 2026</w:t>
            </w:r>
          </w:p>
        </w:tc>
      </w:tr>
      <w:tr>
        <w:tc>
          <w:tcPr>
            <w:tcW w:type="dxa" w:w="3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Documento anexo</w:t>
            </w:r>
          </w:p>
        </w:tc>
        <w:tc>
          <w:tcPr>
            <w:tcW w:type="dxa" w:w="6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backlog-priorizado-monokera.xlsx</w:t>
            </w:r>
          </w:p>
        </w:tc>
      </w:tr>
      <w:tr>
        <w:tc>
          <w:tcPr>
            <w:tcW w:type="dxa" w:w="3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Docente responsable</w:t>
            </w:r>
          </w:p>
        </w:tc>
        <w:tc>
          <w:tcPr>
            <w:tcW w:type="dxa" w:w="6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Fabian Danilo Pérez Díaz</w:t>
            </w:r>
          </w:p>
        </w:tc>
      </w:tr>
    </w:tbl>
    <w:p>
      <w:r>
        <w:br w:type="page"/>
      </w:r>
    </w:p>
    <w:p>
      <w:pPr>
        <w:pStyle w:val="Heading1"/>
        <w:spacing w:after="160" w:before="320"/>
      </w:pPr>
      <w:r>
        <w:rPr>
          <w:rFonts w:ascii="Calibri" w:cs="Calibri" w:eastAsia="Calibri" w:hAnsi="Calibri"/>
          <w:b/>
          <w:bCs/>
          <w:color w:val="1F4E79"/>
          <w:sz w:val="30"/>
          <w:szCs w:val="30"/>
        </w:rPr>
        <w:t xml:space="preserve">1. Introducción</w:t>
      </w:r>
    </w:p>
    <w:p>
      <w:pPr>
        <w:spacing w:after="120" w:line="276"/>
        <w:jc w:val="both"/>
      </w:pPr>
      <w:r>
        <w:rPr>
          <w:rFonts w:ascii="Calibri" w:cs="Calibri" w:eastAsia="Calibri" w:hAnsi="Calibri"/>
          <w:b w:val="false"/>
          <w:bCs w:val="false"/>
          <w:i w:val="false"/>
          <w:iCs w:val="false"/>
          <w:color w:val="000000"/>
          <w:sz w:val="22"/>
          <w:szCs w:val="22"/>
        </w:rPr>
        <w:t xml:space="preserve">Este documento especifica los requerimientos del prototipo navegable de la aplicación móvil complementaria de Monokera. Los requerimientos se expresan como historias de usuario con criterios de aceptación verificables, de modo que cada una pueda declararse terminada de forma objetiva según la definición de terminado establecida en el esquema metodológico.</w:t>
      </w:r>
    </w:p>
    <w:p>
      <w:pPr>
        <w:spacing w:after="120" w:line="276"/>
        <w:jc w:val="both"/>
      </w:pPr>
      <w:r>
        <w:rPr>
          <w:rFonts w:ascii="Calibri" w:cs="Calibri" w:eastAsia="Calibri" w:hAnsi="Calibri"/>
          <w:b w:val="false"/>
          <w:bCs w:val="false"/>
          <w:i w:val="false"/>
          <w:iCs w:val="false"/>
          <w:color w:val="000000"/>
          <w:sz w:val="22"/>
          <w:szCs w:val="22"/>
        </w:rPr>
        <w:t xml:space="preserve">La priorización de las historias, su estimación en puntos y su asignación por sprint se encuentran en el archivo anexo backlog-priorizado-monokera.xlsx. Aquí se documenta el contenido funcional de cada historia.</w:t>
      </w:r>
    </w:p>
    <w:p>
      <w:pPr>
        <w:pStyle w:val="Heading2"/>
        <w:spacing w:after="120" w:before="240"/>
      </w:pPr>
      <w:r>
        <w:rPr>
          <w:rFonts w:ascii="Calibri" w:cs="Calibri" w:eastAsia="Calibri" w:hAnsi="Calibri"/>
          <w:b/>
          <w:bCs/>
          <w:color w:val="1F4E79"/>
          <w:sz w:val="25"/>
          <w:szCs w:val="25"/>
        </w:rPr>
        <w:t xml:space="preserve">1.1. Perfiles de usuario identificados</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4200"/>
        <w:gridCol w:w="3480"/>
      </w:tblGrid>
      <w:tr>
        <w:trPr>
          <w:tblHeader/>
        </w:trPr>
        <w:tc>
          <w:tcPr>
            <w:tcW w:type="dxa" w:w="24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Perfil</w:t>
            </w:r>
          </w:p>
        </w:tc>
        <w:tc>
          <w:tcPr>
            <w:tcW w:type="dxa" w:w="42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Descripción</w:t>
            </w:r>
          </w:p>
        </w:tc>
        <w:tc>
          <w:tcPr>
            <w:tcW w:type="dxa" w:w="348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Necesidad principal</w:t>
            </w:r>
          </w:p>
        </w:tc>
      </w:tr>
      <w:tr>
        <w:tc>
          <w:tcPr>
            <w:tcW w:type="dxa" w:w="24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Asegurado activo</w:t>
            </w:r>
          </w:p>
        </w:tc>
        <w:tc>
          <w:tcPr>
            <w:tcW w:type="dxa" w:w="42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Persona con al menos una póliza vigente emitida a través de un canal de Monokera.</w:t>
            </w:r>
          </w:p>
        </w:tc>
        <w:tc>
          <w:tcPr>
            <w:tcW w:type="dxa" w:w="34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Entender qué tiene contratado, hasta cuándo y qué hacer ante un siniestro.</w:t>
            </w:r>
          </w:p>
        </w:tc>
      </w:tr>
      <w:tr>
        <w:tc>
          <w:tcPr>
            <w:tcW w:type="dxa" w:w="24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Asegurado próximo a vencer</w:t>
            </w:r>
          </w:p>
        </w:tc>
        <w:tc>
          <w:tcPr>
            <w:tcW w:type="dxa" w:w="42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Asegurado cuya póliza vence en los siguientes treinta días.</w:t>
            </w:r>
          </w:p>
        </w:tc>
        <w:tc>
          <w:tcPr>
            <w:tcW w:type="dxa" w:w="34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Ser avisado a tiempo y poder renovar sin fricción.</w:t>
            </w:r>
          </w:p>
        </w:tc>
      </w:tr>
      <w:tr>
        <w:tc>
          <w:tcPr>
            <w:tcW w:type="dxa" w:w="24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Asegurado con siniestro en curso</w:t>
            </w:r>
          </w:p>
        </w:tc>
        <w:tc>
          <w:tcPr>
            <w:tcW w:type="dxa" w:w="42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Asegurado que reportó un siniestro y espera respuesta.</w:t>
            </w:r>
          </w:p>
        </w:tc>
        <w:tc>
          <w:tcPr>
            <w:tcW w:type="dxa" w:w="34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Conocer el estado de su reclamación sin llamar a soporte.</w:t>
            </w:r>
          </w:p>
        </w:tc>
      </w:tr>
      <w:tr>
        <w:tc>
          <w:tcPr>
            <w:tcW w:type="dxa" w:w="24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Asegurado evaluando ampliar cobertura</w:t>
            </w:r>
          </w:p>
        </w:tc>
        <w:tc>
          <w:tcPr>
            <w:tcW w:type="dxa" w:w="42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Asegurado que considera cambiar o ampliar su plan.</w:t>
            </w:r>
          </w:p>
        </w:tc>
        <w:tc>
          <w:tcPr>
            <w:tcW w:type="dxa" w:w="34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Comparar escenarios antes de hablar con un asesor.</w:t>
            </w:r>
          </w:p>
        </w:tc>
      </w:tr>
    </w:tbl>
    <w:p>
      <w:pPr>
        <w:pStyle w:val="Heading2"/>
        <w:spacing w:after="120" w:before="240"/>
      </w:pPr>
      <w:r>
        <w:rPr>
          <w:rFonts w:ascii="Calibri" w:cs="Calibri" w:eastAsia="Calibri" w:hAnsi="Calibri"/>
          <w:b/>
          <w:bCs/>
          <w:color w:val="1F4E79"/>
          <w:sz w:val="25"/>
          <w:szCs w:val="25"/>
        </w:rPr>
        <w:t xml:space="preserve">1.2. Épicas del producto</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800"/>
        <w:gridCol w:w="3400"/>
        <w:gridCol w:w="5880"/>
      </w:tblGrid>
      <w:tr>
        <w:trPr>
          <w:tblHeader/>
        </w:trPr>
        <w:tc>
          <w:tcPr>
            <w:tcW w:type="dxa" w:w="8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ID</w:t>
            </w:r>
          </w:p>
        </w:tc>
        <w:tc>
          <w:tcPr>
            <w:tcW w:type="dxa" w:w="34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Épica</w:t>
            </w:r>
          </w:p>
        </w:tc>
        <w:tc>
          <w:tcPr>
            <w:tcW w:type="dxa" w:w="588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Objetivo de negocio asociado</w:t>
            </w:r>
          </w:p>
        </w:tc>
      </w:tr>
      <w:tr>
        <w:tc>
          <w:tcPr>
            <w:tcW w:type="dxa" w:w="8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E1</w:t>
            </w:r>
          </w:p>
        </w:tc>
        <w:tc>
          <w:tcPr>
            <w:tcW w:type="dxa" w:w="34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Resumen y estado de la póliza</w:t>
            </w:r>
          </w:p>
        </w:tc>
        <w:tc>
          <w:tcPr>
            <w:tcW w:type="dxa" w:w="58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Que el asegurado sepa de un vistazo qué tiene contratado y si está protegido hoy.</w:t>
            </w:r>
          </w:p>
        </w:tc>
      </w:tr>
      <w:tr>
        <w:tc>
          <w:tcPr>
            <w:tcW w:type="dxa" w:w="8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E2</w:t>
            </w:r>
          </w:p>
        </w:tc>
        <w:tc>
          <w:tcPr>
            <w:tcW w:type="dxa" w:w="34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Primas, coberturas y exclusiones</w:t>
            </w:r>
          </w:p>
        </w:tc>
        <w:tc>
          <w:tcPr>
            <w:tcW w:type="dxa" w:w="58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Reducir la confusión sobre qué cubre y qué no cubre la póliza.</w:t>
            </w:r>
          </w:p>
        </w:tc>
      </w:tr>
      <w:tr>
        <w:tc>
          <w:tcPr>
            <w:tcW w:type="dxa" w:w="8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E3</w:t>
            </w:r>
          </w:p>
        </w:tc>
        <w:tc>
          <w:tcPr>
            <w:tcW w:type="dxa" w:w="34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Vigencias y alertas de renovación</w:t>
            </w:r>
          </w:p>
        </w:tc>
        <w:tc>
          <w:tcPr>
            <w:tcW w:type="dxa" w:w="58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Reducir las cancelaciones por falta de aviso oportuno.</w:t>
            </w:r>
          </w:p>
        </w:tc>
      </w:tr>
      <w:tr>
        <w:tc>
          <w:tcPr>
            <w:tcW w:type="dxa" w:w="8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E4</w:t>
            </w:r>
          </w:p>
        </w:tc>
        <w:tc>
          <w:tcPr>
            <w:tcW w:type="dxa" w:w="34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Simulador de planes de cobertura</w:t>
            </w:r>
          </w:p>
        </w:tc>
        <w:tc>
          <w:tcPr>
            <w:tcW w:type="dxa" w:w="58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Facilitar la decisión de ampliación sin alterar el modelo actuarial.</w:t>
            </w:r>
          </w:p>
        </w:tc>
      </w:tr>
      <w:tr>
        <w:tc>
          <w:tcPr>
            <w:tcW w:type="dxa" w:w="8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E5</w:t>
            </w:r>
          </w:p>
        </w:tc>
        <w:tc>
          <w:tcPr>
            <w:tcW w:type="dxa" w:w="34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Contenido educativo</w:t>
            </w:r>
          </w:p>
        </w:tc>
        <w:tc>
          <w:tcPr>
            <w:tcW w:type="dxa" w:w="58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Disminuir las consultas repetitivas al canal de soporte.</w:t>
            </w:r>
          </w:p>
        </w:tc>
      </w:tr>
      <w:tr>
        <w:tc>
          <w:tcPr>
            <w:tcW w:type="dxa" w:w="8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E6</w:t>
            </w:r>
          </w:p>
        </w:tc>
        <w:tc>
          <w:tcPr>
            <w:tcW w:type="dxa" w:w="34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Notificaciones y estado de siniestros</w:t>
            </w:r>
          </w:p>
        </w:tc>
        <w:tc>
          <w:tcPr>
            <w:tcW w:type="dxa" w:w="58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Reducir los siniestros no reportados y las consultas de seguimiento.</w:t>
            </w:r>
          </w:p>
        </w:tc>
      </w:tr>
      <w:tr>
        <w:tc>
          <w:tcPr>
            <w:tcW w:type="dxa" w:w="8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E7</w:t>
            </w:r>
          </w:p>
        </w:tc>
        <w:tc>
          <w:tcPr>
            <w:tcW w:type="dxa" w:w="34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Cumplimiento normativo y accesibilidad</w:t>
            </w:r>
          </w:p>
        </w:tc>
        <w:tc>
          <w:tcPr>
            <w:tcW w:type="dxa" w:w="58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Garantizar la precisión contractual y la legibilidad exigidas por la regulación.</w:t>
            </w:r>
          </w:p>
        </w:tc>
      </w:tr>
      <w:tr>
        <w:tc>
          <w:tcPr>
            <w:tcW w:type="dxa" w:w="8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E8</w:t>
            </w:r>
          </w:p>
        </w:tc>
        <w:tc>
          <w:tcPr>
            <w:tcW w:type="dxa" w:w="34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Gestión del proyecto</w:t>
            </w:r>
          </w:p>
        </w:tc>
        <w:tc>
          <w:tcPr>
            <w:tcW w:type="dxa" w:w="58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Asegurar la trazabilidad y el control exigidos por el caso.</w:t>
            </w:r>
          </w:p>
        </w:tc>
      </w:tr>
    </w:tbl>
    <w:p>
      <w:r>
        <w:br w:type="page"/>
      </w:r>
    </w:p>
    <w:p>
      <w:pPr>
        <w:pStyle w:val="Heading1"/>
        <w:spacing w:after="160" w:before="320"/>
      </w:pPr>
      <w:r>
        <w:rPr>
          <w:rFonts w:ascii="Calibri" w:cs="Calibri" w:eastAsia="Calibri" w:hAnsi="Calibri"/>
          <w:b/>
          <w:bCs/>
          <w:color w:val="1F4E79"/>
          <w:sz w:val="30"/>
          <w:szCs w:val="30"/>
        </w:rPr>
        <w:t xml:space="preserve">2. Historias de usuario del producto</w:t>
      </w:r>
    </w:p>
    <w:p>
      <w:pPr>
        <w:spacing w:after="120" w:line="276"/>
        <w:jc w:val="both"/>
      </w:pPr>
      <w:r>
        <w:rPr>
          <w:rFonts w:ascii="Calibri" w:cs="Calibri" w:eastAsia="Calibri" w:hAnsi="Calibri"/>
          <w:b w:val="false"/>
          <w:bCs w:val="false"/>
          <w:i w:val="false"/>
          <w:iCs w:val="false"/>
          <w:color w:val="000000"/>
          <w:sz w:val="22"/>
          <w:szCs w:val="22"/>
        </w:rPr>
        <w:t xml:space="preserve">Se documentan a continuación las historias que componen el MVP del producto. Las historias de la épica E8, relativas a la gestión del proyecto, se registran únicamente en el backlog por tratarse de trabajo de proceso y no de producto.</w:t>
      </w:r>
    </w:p>
    <w:p>
      <w:pPr>
        <w:pStyle w:val="Heading2"/>
        <w:spacing w:after="120" w:before="240"/>
      </w:pPr>
      <w:r>
        <w:rPr>
          <w:rFonts w:ascii="Calibri" w:cs="Calibri" w:eastAsia="Calibri" w:hAnsi="Calibri"/>
          <w:b/>
          <w:bCs/>
          <w:color w:val="1F4E79"/>
          <w:sz w:val="25"/>
          <w:szCs w:val="25"/>
        </w:rPr>
        <w:t xml:space="preserve">HU-07 · Resumen de la póliza activa</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7680"/>
      </w:tblGrid>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Historia</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Como asegurado quiero ver el resumen de mi póliza activa para saber de un vistazo qué tengo contratado.</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Épica</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E1 - Resumen y estado de la póliza</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Prioridad MoSCoW</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Must have</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Estimación</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5 puntos de historia</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Sprint</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Sprint 1</w:t>
            </w:r>
          </w:p>
        </w:tc>
      </w:tr>
    </w:tbl>
    <w:p>
      <w:pPr>
        <w:spacing w:after="120"/>
      </w:pPr>
    </w:p>
    <w:p>
      <w:pPr>
        <w:pStyle w:val="Heading3"/>
        <w:spacing w:after="100" w:before="200"/>
      </w:pPr>
      <w:r>
        <w:rPr>
          <w:rFonts w:ascii="Calibri" w:cs="Calibri" w:eastAsia="Calibri" w:hAnsi="Calibri"/>
          <w:b/>
          <w:bCs/>
          <w:color w:val="333333"/>
          <w:sz w:val="23"/>
          <w:szCs w:val="23"/>
        </w:rPr>
        <w:t xml:space="preserve">Criterios de aceptación</w:t>
      </w:r>
    </w:p>
    <w:p>
      <w:pPr>
        <w:pStyle w:val="ListParagraph"/>
        <w:numPr>
          <w:ilvl w:val="0"/>
          <w:numId w:val="2"/>
        </w:numPr>
        <w:spacing w:after="80" w:line="276"/>
        <w:jc w:val="both"/>
      </w:pPr>
      <w:r>
        <w:rPr>
          <w:rFonts w:ascii="Calibri" w:cs="Calibri" w:eastAsia="Calibri" w:hAnsi="Calibri"/>
          <w:sz w:val="22"/>
          <w:szCs w:val="22"/>
        </w:rPr>
        <w:t xml:space="preserve">Dado que el asegurado tiene una póliza vigente, cuando abre la aplicación, entonces la pantalla principal muestra el tipo de producto, el número de póliza, la aseguradora partner y la fecha de vencimiento.</w:t>
      </w:r>
    </w:p>
    <w:p>
      <w:pPr>
        <w:pStyle w:val="ListParagraph"/>
        <w:numPr>
          <w:ilvl w:val="0"/>
          <w:numId w:val="2"/>
        </w:numPr>
        <w:spacing w:after="80" w:line="276"/>
        <w:jc w:val="both"/>
      </w:pPr>
      <w:r>
        <w:rPr>
          <w:rFonts w:ascii="Calibri" w:cs="Calibri" w:eastAsia="Calibri" w:hAnsi="Calibri"/>
          <w:sz w:val="22"/>
          <w:szCs w:val="22"/>
        </w:rPr>
        <w:t xml:space="preserve">El resumen presenta un máximo de cinco datos en la vista inicial, para no replicar la densidad del clausulado.</w:t>
      </w:r>
    </w:p>
    <w:p>
      <w:pPr>
        <w:pStyle w:val="ListParagraph"/>
        <w:numPr>
          <w:ilvl w:val="0"/>
          <w:numId w:val="2"/>
        </w:numPr>
        <w:spacing w:after="80" w:line="276"/>
        <w:jc w:val="both"/>
      </w:pPr>
      <w:r>
        <w:rPr>
          <w:rFonts w:ascii="Calibri" w:cs="Calibri" w:eastAsia="Calibri" w:hAnsi="Calibri"/>
          <w:sz w:val="22"/>
          <w:szCs w:val="22"/>
        </w:rPr>
        <w:t xml:space="preserve">Cada dato del resumen enlaza a su detalle completo en un segundo nivel de navegación.</w:t>
      </w:r>
    </w:p>
    <w:p>
      <w:pPr>
        <w:pStyle w:val="ListParagraph"/>
        <w:numPr>
          <w:ilvl w:val="0"/>
          <w:numId w:val="2"/>
        </w:numPr>
        <w:spacing w:after="80" w:line="276"/>
        <w:jc w:val="both"/>
      </w:pPr>
      <w:r>
        <w:rPr>
          <w:rFonts w:ascii="Calibri" w:cs="Calibri" w:eastAsia="Calibri" w:hAnsi="Calibri"/>
          <w:sz w:val="22"/>
          <w:szCs w:val="22"/>
        </w:rPr>
        <w:t xml:space="preserve">Si el asegurado tiene más de una póliza, la pantalla indica cuántas tiene y permite cambiar entre ellas.</w:t>
      </w:r>
    </w:p>
    <w:p>
      <w:pPr>
        <w:spacing w:after="120" w:line="276"/>
        <w:jc w:val="both"/>
      </w:pPr>
      <w:r>
        <w:rPr>
          <w:rFonts w:ascii="Calibri" w:cs="Calibri" w:eastAsia="Calibri" w:hAnsi="Calibri"/>
          <w:b/>
          <w:bCs/>
          <w:i w:val="false"/>
          <w:iCs w:val="false"/>
          <w:color w:val="000000"/>
          <w:sz w:val="20"/>
          <w:szCs w:val="20"/>
        </w:rPr>
        <w:t xml:space="preserve">Nota de análisis: </w:t>
      </w:r>
      <w:r>
        <w:rPr>
          <w:rFonts w:ascii="Calibri" w:cs="Calibri" w:eastAsia="Calibri" w:hAnsi="Calibri"/>
          <w:b w:val="false"/>
          <w:bCs w:val="false"/>
          <w:i/>
          <w:iCs/>
          <w:color w:val="000000"/>
          <w:sz w:val="20"/>
          <w:szCs w:val="20"/>
        </w:rPr>
        <w:t xml:space="preserve">Restricción legal: el resumen no puede sustituir ni contradecir el clausulado; debe existir un acceso visible al documento oficial.</w:t>
      </w:r>
    </w:p>
    <w:p>
      <w:pPr>
        <w:spacing w:after="180"/>
      </w:pPr>
    </w:p>
    <w:p>
      <w:pPr>
        <w:pStyle w:val="Heading2"/>
        <w:spacing w:after="120" w:before="240"/>
      </w:pPr>
      <w:r>
        <w:rPr>
          <w:rFonts w:ascii="Calibri" w:cs="Calibri" w:eastAsia="Calibri" w:hAnsi="Calibri"/>
          <w:b/>
          <w:bCs/>
          <w:color w:val="1F4E79"/>
          <w:sz w:val="25"/>
          <w:szCs w:val="25"/>
        </w:rPr>
        <w:t xml:space="preserve">HU-08 · Estado de la cobertura</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7680"/>
      </w:tblGrid>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Historia</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Como asegurado quiero ver el estado de mi cobertura para saber si estoy protegido hoy.</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Épica</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E1 - Resumen y estado de la póliza</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Prioridad MoSCoW</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Must have</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Estimación</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3 puntos de historia</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Sprint</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Sprint 1</w:t>
            </w:r>
          </w:p>
        </w:tc>
      </w:tr>
    </w:tbl>
    <w:p>
      <w:pPr>
        <w:spacing w:after="120"/>
      </w:pPr>
    </w:p>
    <w:p>
      <w:pPr>
        <w:pStyle w:val="Heading3"/>
        <w:spacing w:after="100" w:before="200"/>
      </w:pPr>
      <w:r>
        <w:rPr>
          <w:rFonts w:ascii="Calibri" w:cs="Calibri" w:eastAsia="Calibri" w:hAnsi="Calibri"/>
          <w:b/>
          <w:bCs/>
          <w:color w:val="333333"/>
          <w:sz w:val="23"/>
          <w:szCs w:val="23"/>
        </w:rPr>
        <w:t xml:space="preserve">Criterios de aceptación</w:t>
      </w:r>
    </w:p>
    <w:p>
      <w:pPr>
        <w:pStyle w:val="ListParagraph"/>
        <w:numPr>
          <w:ilvl w:val="0"/>
          <w:numId w:val="2"/>
        </w:numPr>
        <w:spacing w:after="80" w:line="276"/>
        <w:jc w:val="both"/>
      </w:pPr>
      <w:r>
        <w:rPr>
          <w:rFonts w:ascii="Calibri" w:cs="Calibri" w:eastAsia="Calibri" w:hAnsi="Calibri"/>
          <w:sz w:val="22"/>
          <w:szCs w:val="22"/>
        </w:rPr>
        <w:t xml:space="preserve">El estado se presenta en uno de tres valores: activa, próxima a vencer o vencida.</w:t>
      </w:r>
    </w:p>
    <w:p>
      <w:pPr>
        <w:pStyle w:val="ListParagraph"/>
        <w:numPr>
          <w:ilvl w:val="0"/>
          <w:numId w:val="2"/>
        </w:numPr>
        <w:spacing w:after="80" w:line="276"/>
        <w:jc w:val="both"/>
      </w:pPr>
      <w:r>
        <w:rPr>
          <w:rFonts w:ascii="Calibri" w:cs="Calibri" w:eastAsia="Calibri" w:hAnsi="Calibri"/>
          <w:sz w:val="22"/>
          <w:szCs w:val="22"/>
        </w:rPr>
        <w:t xml:space="preserve">Dado que la póliza vence dentro de los próximos treinta días, entonces el estado muestra 'próxima a vencer' con los días restantes.</w:t>
      </w:r>
    </w:p>
    <w:p>
      <w:pPr>
        <w:pStyle w:val="ListParagraph"/>
        <w:numPr>
          <w:ilvl w:val="0"/>
          <w:numId w:val="2"/>
        </w:numPr>
        <w:spacing w:after="80" w:line="276"/>
        <w:jc w:val="both"/>
      </w:pPr>
      <w:r>
        <w:rPr>
          <w:rFonts w:ascii="Calibri" w:cs="Calibri" w:eastAsia="Calibri" w:hAnsi="Calibri"/>
          <w:sz w:val="22"/>
          <w:szCs w:val="22"/>
        </w:rPr>
        <w:t xml:space="preserve">El estado se acompaña de un indicador visual que no depende únicamente del color, por requisito de accesibilidad.</w:t>
      </w:r>
    </w:p>
    <w:p>
      <w:pPr>
        <w:pStyle w:val="ListParagraph"/>
        <w:numPr>
          <w:ilvl w:val="0"/>
          <w:numId w:val="2"/>
        </w:numPr>
        <w:spacing w:after="80" w:line="276"/>
        <w:jc w:val="both"/>
      </w:pPr>
      <w:r>
        <w:rPr>
          <w:rFonts w:ascii="Calibri" w:cs="Calibri" w:eastAsia="Calibri" w:hAnsi="Calibri"/>
          <w:sz w:val="22"/>
          <w:szCs w:val="22"/>
        </w:rPr>
        <w:t xml:space="preserve">Dado que la póliza está vencida, entonces la pantalla indica de forma explícita que no hay cobertura vigente y ofrece la acción de renovación.</w:t>
      </w:r>
    </w:p>
    <w:p>
      <w:pPr>
        <w:spacing w:after="120" w:line="276"/>
        <w:jc w:val="both"/>
      </w:pPr>
      <w:r>
        <w:rPr>
          <w:rFonts w:ascii="Calibri" w:cs="Calibri" w:eastAsia="Calibri" w:hAnsi="Calibri"/>
          <w:b/>
          <w:bCs/>
          <w:i w:val="false"/>
          <w:iCs w:val="false"/>
          <w:color w:val="000000"/>
          <w:sz w:val="20"/>
          <w:szCs w:val="20"/>
        </w:rPr>
        <w:t xml:space="preserve">Nota de análisis: </w:t>
      </w:r>
      <w:r>
        <w:rPr>
          <w:rFonts w:ascii="Calibri" w:cs="Calibri" w:eastAsia="Calibri" w:hAnsi="Calibri"/>
          <w:b w:val="false"/>
          <w:bCs w:val="false"/>
          <w:i/>
          <w:iCs/>
          <w:color w:val="000000"/>
          <w:sz w:val="20"/>
          <w:szCs w:val="20"/>
        </w:rPr>
        <w:t xml:space="preserve">El texto de una póliza vencida fue señalado por Legal como crítico: no puede sugerir cobertura donde no la hay.</w:t>
      </w:r>
    </w:p>
    <w:p>
      <w:pPr>
        <w:spacing w:after="180"/>
      </w:pPr>
    </w:p>
    <w:p>
      <w:pPr>
        <w:pStyle w:val="Heading2"/>
        <w:spacing w:after="120" w:before="240"/>
      </w:pPr>
      <w:r>
        <w:rPr>
          <w:rFonts w:ascii="Calibri" w:cs="Calibri" w:eastAsia="Calibri" w:hAnsi="Calibri"/>
          <w:b/>
          <w:bCs/>
          <w:color w:val="1F4E79"/>
          <w:sz w:val="25"/>
          <w:szCs w:val="25"/>
        </w:rPr>
        <w:t xml:space="preserve">HU-12 · Detalle de coberturas</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7680"/>
      </w:tblGrid>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Historia</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Como asegurado quiero consultar el detalle de mis coberturas para saber exactamente qué cubre mi póliza.</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Épica</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E2 - Primas, coberturas y exclusiones</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Prioridad MoSCoW</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Must have</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Estimación</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8 puntos de historia</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Sprint</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Sprint 2</w:t>
            </w:r>
          </w:p>
        </w:tc>
      </w:tr>
    </w:tbl>
    <w:p>
      <w:pPr>
        <w:spacing w:after="120"/>
      </w:pPr>
    </w:p>
    <w:p>
      <w:pPr>
        <w:pStyle w:val="Heading3"/>
        <w:spacing w:after="100" w:before="200"/>
      </w:pPr>
      <w:r>
        <w:rPr>
          <w:rFonts w:ascii="Calibri" w:cs="Calibri" w:eastAsia="Calibri" w:hAnsi="Calibri"/>
          <w:b/>
          <w:bCs/>
          <w:color w:val="333333"/>
          <w:sz w:val="23"/>
          <w:szCs w:val="23"/>
        </w:rPr>
        <w:t xml:space="preserve">Criterios de aceptación</w:t>
      </w:r>
    </w:p>
    <w:p>
      <w:pPr>
        <w:pStyle w:val="ListParagraph"/>
        <w:numPr>
          <w:ilvl w:val="0"/>
          <w:numId w:val="2"/>
        </w:numPr>
        <w:spacing w:after="80" w:line="276"/>
        <w:jc w:val="both"/>
      </w:pPr>
      <w:r>
        <w:rPr>
          <w:rFonts w:ascii="Calibri" w:cs="Calibri" w:eastAsia="Calibri" w:hAnsi="Calibri"/>
          <w:sz w:val="22"/>
          <w:szCs w:val="22"/>
        </w:rPr>
        <w:t xml:space="preserve">Cada cobertura se presenta con su nombre, su suma asegurada y una explicación en lenguaje claro de qué situación cubre.</w:t>
      </w:r>
    </w:p>
    <w:p>
      <w:pPr>
        <w:pStyle w:val="ListParagraph"/>
        <w:numPr>
          <w:ilvl w:val="0"/>
          <w:numId w:val="2"/>
        </w:numPr>
        <w:spacing w:after="80" w:line="276"/>
        <w:jc w:val="both"/>
      </w:pPr>
      <w:r>
        <w:rPr>
          <w:rFonts w:ascii="Calibri" w:cs="Calibri" w:eastAsia="Calibri" w:hAnsi="Calibri"/>
          <w:sz w:val="22"/>
          <w:szCs w:val="22"/>
        </w:rPr>
        <w:t xml:space="preserve">La explicación en lenguaje claro se muestra por defecto y el texto contractual literal está disponible en un segundo nivel.</w:t>
      </w:r>
    </w:p>
    <w:p>
      <w:pPr>
        <w:pStyle w:val="ListParagraph"/>
        <w:numPr>
          <w:ilvl w:val="0"/>
          <w:numId w:val="2"/>
        </w:numPr>
        <w:spacing w:after="80" w:line="276"/>
        <w:jc w:val="both"/>
      </w:pPr>
      <w:r>
        <w:rPr>
          <w:rFonts w:ascii="Calibri" w:cs="Calibri" w:eastAsia="Calibri" w:hAnsi="Calibri"/>
          <w:sz w:val="22"/>
          <w:szCs w:val="22"/>
        </w:rPr>
        <w:t xml:space="preserve">Ambos textos, el simplificado y el literal, corresponden a la misma versión del clausulado y así se indica en pantalla.</w:t>
      </w:r>
    </w:p>
    <w:p>
      <w:pPr>
        <w:pStyle w:val="ListParagraph"/>
        <w:numPr>
          <w:ilvl w:val="0"/>
          <w:numId w:val="2"/>
        </w:numPr>
        <w:spacing w:after="80" w:line="276"/>
        <w:jc w:val="both"/>
      </w:pPr>
      <w:r>
        <w:rPr>
          <w:rFonts w:ascii="Calibri" w:cs="Calibri" w:eastAsia="Calibri" w:hAnsi="Calibri"/>
          <w:sz w:val="22"/>
          <w:szCs w:val="22"/>
        </w:rPr>
        <w:t xml:space="preserve">Dado que el asegurado consulta una cobertura, entonces puede ver el deducible aplicable a esa cobertura específica.</w:t>
      </w:r>
    </w:p>
    <w:p>
      <w:pPr>
        <w:spacing w:after="120" w:line="276"/>
        <w:jc w:val="both"/>
      </w:pPr>
      <w:r>
        <w:rPr>
          <w:rFonts w:ascii="Calibri" w:cs="Calibri" w:eastAsia="Calibri" w:hAnsi="Calibri"/>
          <w:b/>
          <w:bCs/>
          <w:i w:val="false"/>
          <w:iCs w:val="false"/>
          <w:color w:val="000000"/>
          <w:sz w:val="20"/>
          <w:szCs w:val="20"/>
        </w:rPr>
        <w:t xml:space="preserve">Nota de análisis: </w:t>
      </w:r>
      <w:r>
        <w:rPr>
          <w:rFonts w:ascii="Calibri" w:cs="Calibri" w:eastAsia="Calibri" w:hAnsi="Calibri"/>
          <w:b w:val="false"/>
          <w:bCs w:val="false"/>
          <w:i/>
          <w:iCs/>
          <w:color w:val="000000"/>
          <w:sz w:val="20"/>
          <w:szCs w:val="20"/>
        </w:rPr>
        <w:t xml:space="preserve">Esta historia materializa la decisión de doble capa de información, que es la respuesta del equipo a la tensión entre Legal y la claridad para el usuario.</w:t>
      </w:r>
    </w:p>
    <w:p>
      <w:pPr>
        <w:spacing w:after="180"/>
      </w:pPr>
    </w:p>
    <w:p>
      <w:pPr>
        <w:pStyle w:val="Heading2"/>
        <w:spacing w:after="120" w:before="240"/>
      </w:pPr>
      <w:r>
        <w:rPr>
          <w:rFonts w:ascii="Calibri" w:cs="Calibri" w:eastAsia="Calibri" w:hAnsi="Calibri"/>
          <w:b/>
          <w:bCs/>
          <w:color w:val="1F4E79"/>
          <w:sz w:val="25"/>
          <w:szCs w:val="25"/>
        </w:rPr>
        <w:t xml:space="preserve">HU-13 · Exclusiones en lenguaje claro</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7680"/>
      </w:tblGrid>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Historia</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Como asegurado quiero ver las exclusiones de mi póliza en lenguaje claro para saber qué NO está cubierto.</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Épica</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E2 - Primas, coberturas y exclusiones</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Prioridad MoSCoW</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Must have</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Estimación</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8 puntos de historia</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Sprint</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Sprint 2</w:t>
            </w:r>
          </w:p>
        </w:tc>
      </w:tr>
    </w:tbl>
    <w:p>
      <w:pPr>
        <w:spacing w:after="120"/>
      </w:pPr>
    </w:p>
    <w:p>
      <w:pPr>
        <w:pStyle w:val="Heading3"/>
        <w:spacing w:after="100" w:before="200"/>
      </w:pPr>
      <w:r>
        <w:rPr>
          <w:rFonts w:ascii="Calibri" w:cs="Calibri" w:eastAsia="Calibri" w:hAnsi="Calibri"/>
          <w:b/>
          <w:bCs/>
          <w:color w:val="333333"/>
          <w:sz w:val="23"/>
          <w:szCs w:val="23"/>
        </w:rPr>
        <w:t xml:space="preserve">Criterios de aceptación</w:t>
      </w:r>
    </w:p>
    <w:p>
      <w:pPr>
        <w:pStyle w:val="ListParagraph"/>
        <w:numPr>
          <w:ilvl w:val="0"/>
          <w:numId w:val="2"/>
        </w:numPr>
        <w:spacing w:after="80" w:line="276"/>
        <w:jc w:val="both"/>
      </w:pPr>
      <w:r>
        <w:rPr>
          <w:rFonts w:ascii="Calibri" w:cs="Calibri" w:eastAsia="Calibri" w:hAnsi="Calibri"/>
          <w:sz w:val="22"/>
          <w:szCs w:val="22"/>
        </w:rPr>
        <w:t xml:space="preserve">Las exclusiones se presentan con la misma jerarquía visual que las coberturas, no en letra pequeña ni en un anexo.</w:t>
      </w:r>
    </w:p>
    <w:p>
      <w:pPr>
        <w:pStyle w:val="ListParagraph"/>
        <w:numPr>
          <w:ilvl w:val="0"/>
          <w:numId w:val="2"/>
        </w:numPr>
        <w:spacing w:after="80" w:line="276"/>
        <w:jc w:val="both"/>
      </w:pPr>
      <w:r>
        <w:rPr>
          <w:rFonts w:ascii="Calibri" w:cs="Calibri" w:eastAsia="Calibri" w:hAnsi="Calibri"/>
          <w:sz w:val="22"/>
          <w:szCs w:val="22"/>
        </w:rPr>
        <w:t xml:space="preserve">Cada exclusión incluye un ejemplo concreto de una situación que no quedaría cubierta.</w:t>
      </w:r>
    </w:p>
    <w:p>
      <w:pPr>
        <w:pStyle w:val="ListParagraph"/>
        <w:numPr>
          <w:ilvl w:val="0"/>
          <w:numId w:val="2"/>
        </w:numPr>
        <w:spacing w:after="80" w:line="276"/>
        <w:jc w:val="both"/>
      </w:pPr>
      <w:r>
        <w:rPr>
          <w:rFonts w:ascii="Calibri" w:cs="Calibri" w:eastAsia="Calibri" w:hAnsi="Calibri"/>
          <w:sz w:val="22"/>
          <w:szCs w:val="22"/>
        </w:rPr>
        <w:t xml:space="preserve">El texto contractual literal de cada exclusión está accesible desde su versión simplificada.</w:t>
      </w:r>
    </w:p>
    <w:p>
      <w:pPr>
        <w:pStyle w:val="ListParagraph"/>
        <w:numPr>
          <w:ilvl w:val="0"/>
          <w:numId w:val="2"/>
        </w:numPr>
        <w:spacing w:after="80" w:line="276"/>
        <w:jc w:val="both"/>
      </w:pPr>
      <w:r>
        <w:rPr>
          <w:rFonts w:ascii="Calibri" w:cs="Calibri" w:eastAsia="Calibri" w:hAnsi="Calibri"/>
          <w:sz w:val="22"/>
          <w:szCs w:val="22"/>
        </w:rPr>
        <w:t xml:space="preserve">La pantalla no utiliza formulaciones que minimicen el alcance de la exclusión.</w:t>
      </w:r>
    </w:p>
    <w:p>
      <w:pPr>
        <w:pStyle w:val="ListParagraph"/>
        <w:numPr>
          <w:ilvl w:val="0"/>
          <w:numId w:val="2"/>
        </w:numPr>
        <w:spacing w:after="80" w:line="276"/>
        <w:jc w:val="both"/>
      </w:pPr>
      <w:r>
        <w:rPr>
          <w:rFonts w:ascii="Calibri" w:cs="Calibri" w:eastAsia="Calibri" w:hAnsi="Calibri"/>
          <w:sz w:val="22"/>
          <w:szCs w:val="22"/>
        </w:rPr>
        <w:t xml:space="preserve">Aprobación documentada del área Legal antes de considerar la historia terminada.</w:t>
      </w:r>
    </w:p>
    <w:p>
      <w:pPr>
        <w:spacing w:after="120" w:line="276"/>
        <w:jc w:val="both"/>
      </w:pPr>
      <w:r>
        <w:rPr>
          <w:rFonts w:ascii="Calibri" w:cs="Calibri" w:eastAsia="Calibri" w:hAnsi="Calibri"/>
          <w:b/>
          <w:bCs/>
          <w:i w:val="false"/>
          <w:iCs w:val="false"/>
          <w:color w:val="000000"/>
          <w:sz w:val="20"/>
          <w:szCs w:val="20"/>
        </w:rPr>
        <w:t xml:space="preserve">Nota de análisis: </w:t>
      </w:r>
      <w:r>
        <w:rPr>
          <w:rFonts w:ascii="Calibri" w:cs="Calibri" w:eastAsia="Calibri" w:hAnsi="Calibri"/>
          <w:b w:val="false"/>
          <w:bCs w:val="false"/>
          <w:i/>
          <w:iCs/>
          <w:color w:val="000000"/>
          <w:sz w:val="20"/>
          <w:szCs w:val="20"/>
        </w:rPr>
        <w:t xml:space="preserve">Historia de mayor riesgo legal del MVP. Es la que originó el incidente INC-01 por la doble revisión exigida por Legal.</w:t>
      </w:r>
    </w:p>
    <w:p>
      <w:pPr>
        <w:spacing w:after="180"/>
      </w:pPr>
    </w:p>
    <w:p>
      <w:pPr>
        <w:pStyle w:val="Heading2"/>
        <w:spacing w:after="120" w:before="240"/>
      </w:pPr>
      <w:r>
        <w:rPr>
          <w:rFonts w:ascii="Calibri" w:cs="Calibri" w:eastAsia="Calibri" w:hAnsi="Calibri"/>
          <w:b/>
          <w:bCs/>
          <w:color w:val="1F4E79"/>
          <w:sz w:val="25"/>
          <w:szCs w:val="25"/>
        </w:rPr>
        <w:t xml:space="preserve">HU-14 · Prima, deducible y copago</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7680"/>
      </w:tblGrid>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Historia</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Como asegurado quiero entender el valor de mi prima, el deducible y el copago para no llevarme sorpresas al reclamar.</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Épica</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E2 - Primas, coberturas y exclusiones</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Prioridad MoSCoW</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Must have</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Estimación</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5 puntos de historia</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Sprint</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Sprint 2</w:t>
            </w:r>
          </w:p>
        </w:tc>
      </w:tr>
    </w:tbl>
    <w:p>
      <w:pPr>
        <w:spacing w:after="120"/>
      </w:pPr>
    </w:p>
    <w:p>
      <w:pPr>
        <w:pStyle w:val="Heading3"/>
        <w:spacing w:after="100" w:before="200"/>
      </w:pPr>
      <w:r>
        <w:rPr>
          <w:rFonts w:ascii="Calibri" w:cs="Calibri" w:eastAsia="Calibri" w:hAnsi="Calibri"/>
          <w:b/>
          <w:bCs/>
          <w:color w:val="333333"/>
          <w:sz w:val="23"/>
          <w:szCs w:val="23"/>
        </w:rPr>
        <w:t xml:space="preserve">Criterios de aceptación</w:t>
      </w:r>
    </w:p>
    <w:p>
      <w:pPr>
        <w:pStyle w:val="ListParagraph"/>
        <w:numPr>
          <w:ilvl w:val="0"/>
          <w:numId w:val="2"/>
        </w:numPr>
        <w:spacing w:after="80" w:line="276"/>
        <w:jc w:val="both"/>
      </w:pPr>
      <w:r>
        <w:rPr>
          <w:rFonts w:ascii="Calibri" w:cs="Calibri" w:eastAsia="Calibri" w:hAnsi="Calibri"/>
          <w:sz w:val="22"/>
          <w:szCs w:val="22"/>
        </w:rPr>
        <w:t xml:space="preserve">La pantalla muestra el valor de la prima, su periodicidad de pago y la fecha del próximo cobro.</w:t>
      </w:r>
    </w:p>
    <w:p>
      <w:pPr>
        <w:pStyle w:val="ListParagraph"/>
        <w:numPr>
          <w:ilvl w:val="0"/>
          <w:numId w:val="2"/>
        </w:numPr>
        <w:spacing w:after="80" w:line="276"/>
        <w:jc w:val="both"/>
      </w:pPr>
      <w:r>
        <w:rPr>
          <w:rFonts w:ascii="Calibri" w:cs="Calibri" w:eastAsia="Calibri" w:hAnsi="Calibri"/>
          <w:sz w:val="22"/>
          <w:szCs w:val="22"/>
        </w:rPr>
        <w:t xml:space="preserve">El deducible y el copago se explican con un ejemplo numérico de un siniestro hipotético.</w:t>
      </w:r>
    </w:p>
    <w:p>
      <w:pPr>
        <w:pStyle w:val="ListParagraph"/>
        <w:numPr>
          <w:ilvl w:val="0"/>
          <w:numId w:val="2"/>
        </w:numPr>
        <w:spacing w:after="80" w:line="276"/>
        <w:jc w:val="both"/>
      </w:pPr>
      <w:r>
        <w:rPr>
          <w:rFonts w:ascii="Calibri" w:cs="Calibri" w:eastAsia="Calibri" w:hAnsi="Calibri"/>
          <w:sz w:val="22"/>
          <w:szCs w:val="22"/>
        </w:rPr>
        <w:t xml:space="preserve">El ejemplo se identifica de forma explícita como ilustrativo y no como una liquidación real.</w:t>
      </w:r>
    </w:p>
    <w:p>
      <w:pPr>
        <w:pStyle w:val="ListParagraph"/>
        <w:numPr>
          <w:ilvl w:val="0"/>
          <w:numId w:val="2"/>
        </w:numPr>
        <w:spacing w:after="80" w:line="276"/>
        <w:jc w:val="both"/>
      </w:pPr>
      <w:r>
        <w:rPr>
          <w:rFonts w:ascii="Calibri" w:cs="Calibri" w:eastAsia="Calibri" w:hAnsi="Calibri"/>
          <w:sz w:val="22"/>
          <w:szCs w:val="22"/>
        </w:rPr>
        <w:t xml:space="preserve">Los valores mostrados provienen de la póliza del asegurado y no de un cálculo propio de la aplicación.</w:t>
      </w:r>
    </w:p>
    <w:p>
      <w:pPr>
        <w:spacing w:after="120" w:line="276"/>
        <w:jc w:val="both"/>
      </w:pPr>
      <w:r>
        <w:rPr>
          <w:rFonts w:ascii="Calibri" w:cs="Calibri" w:eastAsia="Calibri" w:hAnsi="Calibri"/>
          <w:b/>
          <w:bCs/>
          <w:i w:val="false"/>
          <w:iCs w:val="false"/>
          <w:color w:val="000000"/>
          <w:sz w:val="20"/>
          <w:szCs w:val="20"/>
        </w:rPr>
        <w:t xml:space="preserve">Nota de análisis: </w:t>
      </w:r>
      <w:r>
        <w:rPr>
          <w:rFonts w:ascii="Calibri" w:cs="Calibri" w:eastAsia="Calibri" w:hAnsi="Calibri"/>
          <w:b w:val="false"/>
          <w:bCs w:val="false"/>
          <w:i/>
          <w:iCs/>
          <w:color w:val="000000"/>
          <w:sz w:val="20"/>
          <w:szCs w:val="20"/>
        </w:rPr>
        <w:t xml:space="preserve">Restricción actuarial: la aplicación presenta valores existentes; no los calcula ni los proyecta.</w:t>
      </w:r>
    </w:p>
    <w:p>
      <w:pPr>
        <w:spacing w:after="180"/>
      </w:pPr>
    </w:p>
    <w:p>
      <w:pPr>
        <w:pStyle w:val="Heading2"/>
        <w:spacing w:after="120" w:before="240"/>
      </w:pPr>
      <w:r>
        <w:rPr>
          <w:rFonts w:ascii="Calibri" w:cs="Calibri" w:eastAsia="Calibri" w:hAnsi="Calibri"/>
          <w:b/>
          <w:bCs/>
          <w:color w:val="1F4E79"/>
          <w:sz w:val="25"/>
          <w:szCs w:val="25"/>
        </w:rPr>
        <w:t xml:space="preserve">HU-15 · Fecha de vigencia de la póliza</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7680"/>
      </w:tblGrid>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Historia</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Como asegurado quiero ver la fecha de vigencia de mi póliza para saber hasta cuándo estoy cubierto.</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Épica</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E3 - Vigencias y alertas de renovación</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Prioridad MoSCoW</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Must have</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Estimación</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3 puntos de historia</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Sprint</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Sprint 2</w:t>
            </w:r>
          </w:p>
        </w:tc>
      </w:tr>
    </w:tbl>
    <w:p>
      <w:pPr>
        <w:spacing w:after="120"/>
      </w:pPr>
    </w:p>
    <w:p>
      <w:pPr>
        <w:pStyle w:val="Heading3"/>
        <w:spacing w:after="100" w:before="200"/>
      </w:pPr>
      <w:r>
        <w:rPr>
          <w:rFonts w:ascii="Calibri" w:cs="Calibri" w:eastAsia="Calibri" w:hAnsi="Calibri"/>
          <w:b/>
          <w:bCs/>
          <w:color w:val="333333"/>
          <w:sz w:val="23"/>
          <w:szCs w:val="23"/>
        </w:rPr>
        <w:t xml:space="preserve">Criterios de aceptación</w:t>
      </w:r>
    </w:p>
    <w:p>
      <w:pPr>
        <w:pStyle w:val="ListParagraph"/>
        <w:numPr>
          <w:ilvl w:val="0"/>
          <w:numId w:val="2"/>
        </w:numPr>
        <w:spacing w:after="80" w:line="276"/>
        <w:jc w:val="both"/>
      </w:pPr>
      <w:r>
        <w:rPr>
          <w:rFonts w:ascii="Calibri" w:cs="Calibri" w:eastAsia="Calibri" w:hAnsi="Calibri"/>
          <w:sz w:val="22"/>
          <w:szCs w:val="22"/>
        </w:rPr>
        <w:t xml:space="preserve">La pantalla muestra la fecha de inicio y la fecha de fin de la vigencia en formato de fecha completa.</w:t>
      </w:r>
    </w:p>
    <w:p>
      <w:pPr>
        <w:pStyle w:val="ListParagraph"/>
        <w:numPr>
          <w:ilvl w:val="0"/>
          <w:numId w:val="2"/>
        </w:numPr>
        <w:spacing w:after="80" w:line="276"/>
        <w:jc w:val="both"/>
      </w:pPr>
      <w:r>
        <w:rPr>
          <w:rFonts w:ascii="Calibri" w:cs="Calibri" w:eastAsia="Calibri" w:hAnsi="Calibri"/>
          <w:sz w:val="22"/>
          <w:szCs w:val="22"/>
        </w:rPr>
        <w:t xml:space="preserve">Se muestra el número de días restantes de cobertura.</w:t>
      </w:r>
    </w:p>
    <w:p>
      <w:pPr>
        <w:pStyle w:val="ListParagraph"/>
        <w:numPr>
          <w:ilvl w:val="0"/>
          <w:numId w:val="2"/>
        </w:numPr>
        <w:spacing w:after="80" w:line="276"/>
        <w:jc w:val="both"/>
      </w:pPr>
      <w:r>
        <w:rPr>
          <w:rFonts w:ascii="Calibri" w:cs="Calibri" w:eastAsia="Calibri" w:hAnsi="Calibri"/>
          <w:sz w:val="22"/>
          <w:szCs w:val="22"/>
        </w:rPr>
        <w:t xml:space="preserve">Dado que la póliza tiene renovación automática, entonces la pantalla lo indica y explica qué significa.</w:t>
      </w:r>
    </w:p>
    <w:p>
      <w:pPr>
        <w:spacing w:after="180"/>
      </w:pPr>
    </w:p>
    <w:p>
      <w:pPr>
        <w:pStyle w:val="Heading2"/>
        <w:spacing w:after="120" w:before="240"/>
      </w:pPr>
      <w:r>
        <w:rPr>
          <w:rFonts w:ascii="Calibri" w:cs="Calibri" w:eastAsia="Calibri" w:hAnsi="Calibri"/>
          <w:b/>
          <w:bCs/>
          <w:color w:val="1F4E79"/>
          <w:sz w:val="25"/>
          <w:szCs w:val="25"/>
        </w:rPr>
        <w:t xml:space="preserve">HU-16 · Alerta previa al vencimiento</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7680"/>
      </w:tblGrid>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Historia</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Como asegurado quiero recibir una alerta antes del vencimiento para no perder mi cobertura por olvido.</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Épica</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E3 - Vigencias y alertas de renovación</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Prioridad MoSCoW</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Must have</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Estimación</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5 puntos de historia</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Sprint</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Sprint 2</w:t>
            </w:r>
          </w:p>
        </w:tc>
      </w:tr>
    </w:tbl>
    <w:p>
      <w:pPr>
        <w:spacing w:after="120"/>
      </w:pPr>
    </w:p>
    <w:p>
      <w:pPr>
        <w:pStyle w:val="Heading3"/>
        <w:spacing w:after="100" w:before="200"/>
      </w:pPr>
      <w:r>
        <w:rPr>
          <w:rFonts w:ascii="Calibri" w:cs="Calibri" w:eastAsia="Calibri" w:hAnsi="Calibri"/>
          <w:b/>
          <w:bCs/>
          <w:color w:val="333333"/>
          <w:sz w:val="23"/>
          <w:szCs w:val="23"/>
        </w:rPr>
        <w:t xml:space="preserve">Criterios de aceptación</w:t>
      </w:r>
    </w:p>
    <w:p>
      <w:pPr>
        <w:pStyle w:val="ListParagraph"/>
        <w:numPr>
          <w:ilvl w:val="0"/>
          <w:numId w:val="2"/>
        </w:numPr>
        <w:spacing w:after="80" w:line="276"/>
        <w:jc w:val="both"/>
      </w:pPr>
      <w:r>
        <w:rPr>
          <w:rFonts w:ascii="Calibri" w:cs="Calibri" w:eastAsia="Calibri" w:hAnsi="Calibri"/>
          <w:sz w:val="22"/>
          <w:szCs w:val="22"/>
        </w:rPr>
        <w:t xml:space="preserve">Se definen tres avisos: a treinta, a quince y a tres días del vencimiento.</w:t>
      </w:r>
    </w:p>
    <w:p>
      <w:pPr>
        <w:pStyle w:val="ListParagraph"/>
        <w:numPr>
          <w:ilvl w:val="0"/>
          <w:numId w:val="2"/>
        </w:numPr>
        <w:spacing w:after="80" w:line="276"/>
        <w:jc w:val="both"/>
      </w:pPr>
      <w:r>
        <w:rPr>
          <w:rFonts w:ascii="Calibri" w:cs="Calibri" w:eastAsia="Calibri" w:hAnsi="Calibri"/>
          <w:sz w:val="22"/>
          <w:szCs w:val="22"/>
        </w:rPr>
        <w:t xml:space="preserve">Cada aviso indica la fecha exacta de vencimiento y la acción concreta que el asegurado debe ejecutar.</w:t>
      </w:r>
    </w:p>
    <w:p>
      <w:pPr>
        <w:pStyle w:val="ListParagraph"/>
        <w:numPr>
          <w:ilvl w:val="0"/>
          <w:numId w:val="2"/>
        </w:numPr>
        <w:spacing w:after="80" w:line="276"/>
        <w:jc w:val="both"/>
      </w:pPr>
      <w:r>
        <w:rPr>
          <w:rFonts w:ascii="Calibri" w:cs="Calibri" w:eastAsia="Calibri" w:hAnsi="Calibri"/>
          <w:sz w:val="22"/>
          <w:szCs w:val="22"/>
        </w:rPr>
        <w:t xml:space="preserve">Dado que el asegurado abre el aviso, entonces llega directamente a la pantalla de renovación y no a la pantalla principal.</w:t>
      </w:r>
    </w:p>
    <w:p>
      <w:pPr>
        <w:pStyle w:val="ListParagraph"/>
        <w:numPr>
          <w:ilvl w:val="0"/>
          <w:numId w:val="2"/>
        </w:numPr>
        <w:spacing w:after="80" w:line="276"/>
        <w:jc w:val="both"/>
      </w:pPr>
      <w:r>
        <w:rPr>
          <w:rFonts w:ascii="Calibri" w:cs="Calibri" w:eastAsia="Calibri" w:hAnsi="Calibri"/>
          <w:sz w:val="22"/>
          <w:szCs w:val="22"/>
        </w:rPr>
        <w:t xml:space="preserve">El aviso no emplea lenguaje de urgencia comercial ni presión de venta.</w:t>
      </w:r>
    </w:p>
    <w:p>
      <w:pPr>
        <w:spacing w:after="120" w:line="276"/>
        <w:jc w:val="both"/>
      </w:pPr>
      <w:r>
        <w:rPr>
          <w:rFonts w:ascii="Calibri" w:cs="Calibri" w:eastAsia="Calibri" w:hAnsi="Calibri"/>
          <w:b/>
          <w:bCs/>
          <w:i w:val="false"/>
          <w:iCs w:val="false"/>
          <w:color w:val="000000"/>
          <w:sz w:val="20"/>
          <w:szCs w:val="20"/>
        </w:rPr>
        <w:t xml:space="preserve">Nota de análisis: </w:t>
      </w:r>
      <w:r>
        <w:rPr>
          <w:rFonts w:ascii="Calibri" w:cs="Calibri" w:eastAsia="Calibri" w:hAnsi="Calibri"/>
          <w:b w:val="false"/>
          <w:bCs w:val="false"/>
          <w:i/>
          <w:iCs/>
          <w:color w:val="000000"/>
          <w:sz w:val="20"/>
          <w:szCs w:val="20"/>
        </w:rPr>
        <w:t xml:space="preserve">La ausencia de alertas efectivas es una de las causas declaradas de cancelación en el diagnóstico del cliente.</w:t>
      </w:r>
    </w:p>
    <w:p>
      <w:pPr>
        <w:spacing w:after="180"/>
      </w:pPr>
    </w:p>
    <w:p>
      <w:pPr>
        <w:pStyle w:val="Heading2"/>
        <w:spacing w:after="120" w:before="240"/>
      </w:pPr>
      <w:r>
        <w:rPr>
          <w:rFonts w:ascii="Calibri" w:cs="Calibri" w:eastAsia="Calibri" w:hAnsi="Calibri"/>
          <w:b/>
          <w:bCs/>
          <w:color w:val="1F4E79"/>
          <w:sz w:val="25"/>
          <w:szCs w:val="25"/>
        </w:rPr>
        <w:t xml:space="preserve">HU-17 · Enlace al clausulado oficial</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7680"/>
      </w:tblGrid>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Historia</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Como área legal quiero que cada pantalla que muestre condiciones contractuales enlace al clausulado oficial para evitar riesgo legal.</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Épica</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E7 - Cumplimiento y accesibilidad</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Prioridad MoSCoW</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Must have</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Estimación</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5 puntos de historia</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Sprint</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Sprint 2</w:t>
            </w:r>
          </w:p>
        </w:tc>
      </w:tr>
    </w:tbl>
    <w:p>
      <w:pPr>
        <w:spacing w:after="120"/>
      </w:pPr>
    </w:p>
    <w:p>
      <w:pPr>
        <w:pStyle w:val="Heading3"/>
        <w:spacing w:after="100" w:before="200"/>
      </w:pPr>
      <w:r>
        <w:rPr>
          <w:rFonts w:ascii="Calibri" w:cs="Calibri" w:eastAsia="Calibri" w:hAnsi="Calibri"/>
          <w:b/>
          <w:bCs/>
          <w:color w:val="333333"/>
          <w:sz w:val="23"/>
          <w:szCs w:val="23"/>
        </w:rPr>
        <w:t xml:space="preserve">Criterios de aceptación</w:t>
      </w:r>
    </w:p>
    <w:p>
      <w:pPr>
        <w:pStyle w:val="ListParagraph"/>
        <w:numPr>
          <w:ilvl w:val="0"/>
          <w:numId w:val="2"/>
        </w:numPr>
        <w:spacing w:after="80" w:line="276"/>
        <w:jc w:val="both"/>
      </w:pPr>
      <w:r>
        <w:rPr>
          <w:rFonts w:ascii="Calibri" w:cs="Calibri" w:eastAsia="Calibri" w:hAnsi="Calibri"/>
          <w:sz w:val="22"/>
          <w:szCs w:val="22"/>
        </w:rPr>
        <w:t xml:space="preserve">Toda pantalla que presente coberturas, exclusiones, primas o deducibles contiene un acceso visible al clausulado oficial.</w:t>
      </w:r>
    </w:p>
    <w:p>
      <w:pPr>
        <w:pStyle w:val="ListParagraph"/>
        <w:numPr>
          <w:ilvl w:val="0"/>
          <w:numId w:val="2"/>
        </w:numPr>
        <w:spacing w:after="80" w:line="276"/>
        <w:jc w:val="both"/>
      </w:pPr>
      <w:r>
        <w:rPr>
          <w:rFonts w:ascii="Calibri" w:cs="Calibri" w:eastAsia="Calibri" w:hAnsi="Calibri"/>
          <w:sz w:val="22"/>
          <w:szCs w:val="22"/>
        </w:rPr>
        <w:t xml:space="preserve">El acceso indica la versión y la fecha del clausulado consultado.</w:t>
      </w:r>
    </w:p>
    <w:p>
      <w:pPr>
        <w:pStyle w:val="ListParagraph"/>
        <w:numPr>
          <w:ilvl w:val="0"/>
          <w:numId w:val="2"/>
        </w:numPr>
        <w:spacing w:after="80" w:line="276"/>
        <w:jc w:val="both"/>
      </w:pPr>
      <w:r>
        <w:rPr>
          <w:rFonts w:ascii="Calibri" w:cs="Calibri" w:eastAsia="Calibri" w:hAnsi="Calibri"/>
          <w:sz w:val="22"/>
          <w:szCs w:val="22"/>
        </w:rPr>
        <w:t xml:space="preserve">El enlace es alcanzable con un máximo de dos interacciones desde la pantalla de origen.</w:t>
      </w:r>
    </w:p>
    <w:p>
      <w:pPr>
        <w:spacing w:after="120" w:line="276"/>
        <w:jc w:val="both"/>
      </w:pPr>
      <w:r>
        <w:rPr>
          <w:rFonts w:ascii="Calibri" w:cs="Calibri" w:eastAsia="Calibri" w:hAnsi="Calibri"/>
          <w:b/>
          <w:bCs/>
          <w:i w:val="false"/>
          <w:iCs w:val="false"/>
          <w:color w:val="000000"/>
          <w:sz w:val="20"/>
          <w:szCs w:val="20"/>
        </w:rPr>
        <w:t xml:space="preserve">Nota de análisis: </w:t>
      </w:r>
      <w:r>
        <w:rPr>
          <w:rFonts w:ascii="Calibri" w:cs="Calibri" w:eastAsia="Calibri" w:hAnsi="Calibri"/>
          <w:b w:val="false"/>
          <w:bCs w:val="false"/>
          <w:i/>
          <w:iCs/>
          <w:color w:val="000000"/>
          <w:sz w:val="20"/>
          <w:szCs w:val="20"/>
        </w:rPr>
        <w:t xml:space="preserve">Requerimiento no funcional de cumplimiento, expresado como historia por exigencia directa del stakeholder ST-01.</w:t>
      </w:r>
    </w:p>
    <w:p>
      <w:pPr>
        <w:spacing w:after="180"/>
      </w:pPr>
    </w:p>
    <w:p>
      <w:pPr>
        <w:pStyle w:val="Heading2"/>
        <w:spacing w:after="120" w:before="240"/>
      </w:pPr>
      <w:r>
        <w:rPr>
          <w:rFonts w:ascii="Calibri" w:cs="Calibri" w:eastAsia="Calibri" w:hAnsi="Calibri"/>
          <w:b/>
          <w:bCs/>
          <w:color w:val="1F4E79"/>
          <w:sz w:val="25"/>
          <w:szCs w:val="25"/>
        </w:rPr>
        <w:t xml:space="preserve">HU-22 · Restricción actuarial del simulador</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7680"/>
      </w:tblGrid>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Historia</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Como área actuarial necesito que el simulador opere sobre rangos referenciales y no sobre tarifas productivas para proteger el modelo actuarial.</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Épica</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E4 - Simulador de planes</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Prioridad MoSCoW</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Must have</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Estimación</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8 puntos de historia</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Sprint</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Sprint 2 (trasladada)</w:t>
            </w:r>
          </w:p>
        </w:tc>
      </w:tr>
    </w:tbl>
    <w:p>
      <w:pPr>
        <w:spacing w:after="120"/>
      </w:pPr>
    </w:p>
    <w:p>
      <w:pPr>
        <w:pStyle w:val="Heading3"/>
        <w:spacing w:after="100" w:before="200"/>
      </w:pPr>
      <w:r>
        <w:rPr>
          <w:rFonts w:ascii="Calibri" w:cs="Calibri" w:eastAsia="Calibri" w:hAnsi="Calibri"/>
          <w:b/>
          <w:bCs/>
          <w:color w:val="333333"/>
          <w:sz w:val="23"/>
          <w:szCs w:val="23"/>
        </w:rPr>
        <w:t xml:space="preserve">Criterios de aceptación</w:t>
      </w:r>
    </w:p>
    <w:p>
      <w:pPr>
        <w:pStyle w:val="ListParagraph"/>
        <w:numPr>
          <w:ilvl w:val="0"/>
          <w:numId w:val="2"/>
        </w:numPr>
        <w:spacing w:after="80" w:line="276"/>
        <w:jc w:val="both"/>
      </w:pPr>
      <w:r>
        <w:rPr>
          <w:rFonts w:ascii="Calibri" w:cs="Calibri" w:eastAsia="Calibri" w:hAnsi="Calibri"/>
          <w:sz w:val="22"/>
          <w:szCs w:val="22"/>
        </w:rPr>
        <w:t xml:space="preserve">El simulador no consulta ni presenta tarifas reales de primas.</w:t>
      </w:r>
    </w:p>
    <w:p>
      <w:pPr>
        <w:pStyle w:val="ListParagraph"/>
        <w:numPr>
          <w:ilvl w:val="0"/>
          <w:numId w:val="2"/>
        </w:numPr>
        <w:spacing w:after="80" w:line="276"/>
        <w:jc w:val="both"/>
      </w:pPr>
      <w:r>
        <w:rPr>
          <w:rFonts w:ascii="Calibri" w:cs="Calibri" w:eastAsia="Calibri" w:hAnsi="Calibri"/>
          <w:sz w:val="22"/>
          <w:szCs w:val="22"/>
        </w:rPr>
        <w:t xml:space="preserve">Todo resultado del simulador se identifica de forma explícita como estimación referencial no vinculante.</w:t>
      </w:r>
    </w:p>
    <w:p>
      <w:pPr>
        <w:pStyle w:val="ListParagraph"/>
        <w:numPr>
          <w:ilvl w:val="0"/>
          <w:numId w:val="2"/>
        </w:numPr>
        <w:spacing w:after="80" w:line="276"/>
        <w:jc w:val="both"/>
      </w:pPr>
      <w:r>
        <w:rPr>
          <w:rFonts w:ascii="Calibri" w:cs="Calibri" w:eastAsia="Calibri" w:hAnsi="Calibri"/>
          <w:sz w:val="22"/>
          <w:szCs w:val="22"/>
        </w:rPr>
        <w:t xml:space="preserve">El resultado incluye siempre la indicación de que el valor definitivo lo confirma un asesor.</w:t>
      </w:r>
    </w:p>
    <w:p>
      <w:pPr>
        <w:pStyle w:val="ListParagraph"/>
        <w:numPr>
          <w:ilvl w:val="0"/>
          <w:numId w:val="2"/>
        </w:numPr>
        <w:spacing w:after="80" w:line="276"/>
        <w:jc w:val="both"/>
      </w:pPr>
      <w:r>
        <w:rPr>
          <w:rFonts w:ascii="Calibri" w:cs="Calibri" w:eastAsia="Calibri" w:hAnsi="Calibri"/>
          <w:sz w:val="22"/>
          <w:szCs w:val="22"/>
        </w:rPr>
        <w:t xml:space="preserve">Validación documentada del consultor actuarial externo antes de considerar la historia terminada.</w:t>
      </w:r>
    </w:p>
    <w:p>
      <w:pPr>
        <w:spacing w:after="120" w:line="276"/>
        <w:jc w:val="both"/>
      </w:pPr>
      <w:r>
        <w:rPr>
          <w:rFonts w:ascii="Calibri" w:cs="Calibri" w:eastAsia="Calibri" w:hAnsi="Calibri"/>
          <w:b/>
          <w:bCs/>
          <w:i w:val="false"/>
          <w:iCs w:val="false"/>
          <w:color w:val="000000"/>
          <w:sz w:val="20"/>
          <w:szCs w:val="20"/>
        </w:rPr>
        <w:t xml:space="preserve">Nota de análisis: </w:t>
      </w:r>
      <w:r>
        <w:rPr>
          <w:rFonts w:ascii="Calibri" w:cs="Calibri" w:eastAsia="Calibri" w:hAnsi="Calibri"/>
          <w:b w:val="false"/>
          <w:bCs w:val="false"/>
          <w:i/>
          <w:iCs/>
          <w:color w:val="000000"/>
          <w:sz w:val="20"/>
          <w:szCs w:val="20"/>
        </w:rPr>
        <w:t xml:space="preserve">Historia no completada en el Sprint 2. Su bloqueo depende del cierre previo de HU-10. Trasladada al Sprint 3.</w:t>
      </w:r>
    </w:p>
    <w:p>
      <w:pPr>
        <w:spacing w:after="180"/>
      </w:pPr>
    </w:p>
    <w:p>
      <w:pPr>
        <w:pStyle w:val="Heading2"/>
        <w:spacing w:after="120" w:before="240"/>
      </w:pPr>
      <w:r>
        <w:rPr>
          <w:rFonts w:ascii="Calibri" w:cs="Calibri" w:eastAsia="Calibri" w:hAnsi="Calibri"/>
          <w:b/>
          <w:bCs/>
          <w:color w:val="1F4E79"/>
          <w:sz w:val="25"/>
          <w:szCs w:val="25"/>
        </w:rPr>
        <w:t xml:space="preserve">HU-23 · Estado de un siniestro reportado</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7680"/>
      </w:tblGrid>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Historia</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Como asegurado quiero consultar el estado de un siniestro reportado para saber en qué va mi reclamación.</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Épica</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E6 - Notificaciones y siniestros</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Prioridad MoSCoW</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Must have</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Estimación</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8 puntos de historia</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Sprint</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Sprint 2 (trasladada)</w:t>
            </w:r>
          </w:p>
        </w:tc>
      </w:tr>
    </w:tbl>
    <w:p>
      <w:pPr>
        <w:spacing w:after="120"/>
      </w:pPr>
    </w:p>
    <w:p>
      <w:pPr>
        <w:pStyle w:val="Heading3"/>
        <w:spacing w:after="100" w:before="200"/>
      </w:pPr>
      <w:r>
        <w:rPr>
          <w:rFonts w:ascii="Calibri" w:cs="Calibri" w:eastAsia="Calibri" w:hAnsi="Calibri"/>
          <w:b/>
          <w:bCs/>
          <w:color w:val="333333"/>
          <w:sz w:val="23"/>
          <w:szCs w:val="23"/>
        </w:rPr>
        <w:t xml:space="preserve">Criterios de aceptación</w:t>
      </w:r>
    </w:p>
    <w:p>
      <w:pPr>
        <w:pStyle w:val="ListParagraph"/>
        <w:numPr>
          <w:ilvl w:val="0"/>
          <w:numId w:val="2"/>
        </w:numPr>
        <w:spacing w:after="80" w:line="276"/>
        <w:jc w:val="both"/>
      </w:pPr>
      <w:r>
        <w:rPr>
          <w:rFonts w:ascii="Calibri" w:cs="Calibri" w:eastAsia="Calibri" w:hAnsi="Calibri"/>
          <w:sz w:val="22"/>
          <w:szCs w:val="22"/>
        </w:rPr>
        <w:t xml:space="preserve">La pantalla muestra el estado del siniestro en una línea de tiempo con las etapas del proceso.</w:t>
      </w:r>
    </w:p>
    <w:p>
      <w:pPr>
        <w:pStyle w:val="ListParagraph"/>
        <w:numPr>
          <w:ilvl w:val="0"/>
          <w:numId w:val="2"/>
        </w:numPr>
        <w:spacing w:after="80" w:line="276"/>
        <w:jc w:val="both"/>
      </w:pPr>
      <w:r>
        <w:rPr>
          <w:rFonts w:ascii="Calibri" w:cs="Calibri" w:eastAsia="Calibri" w:hAnsi="Calibri"/>
          <w:sz w:val="22"/>
          <w:szCs w:val="22"/>
        </w:rPr>
        <w:t xml:space="preserve">Cada etapa indica si está completada, en curso o pendiente, y la fecha en que ocurrió.</w:t>
      </w:r>
    </w:p>
    <w:p>
      <w:pPr>
        <w:pStyle w:val="ListParagraph"/>
        <w:numPr>
          <w:ilvl w:val="0"/>
          <w:numId w:val="2"/>
        </w:numPr>
        <w:spacing w:after="80" w:line="276"/>
        <w:jc w:val="both"/>
      </w:pPr>
      <w:r>
        <w:rPr>
          <w:rFonts w:ascii="Calibri" w:cs="Calibri" w:eastAsia="Calibri" w:hAnsi="Calibri"/>
          <w:sz w:val="22"/>
          <w:szCs w:val="22"/>
        </w:rPr>
        <w:t xml:space="preserve">Dado que el siniestro requiere documentación adicional, entonces la pantalla indica exactamente qué documento falta.</w:t>
      </w:r>
    </w:p>
    <w:p>
      <w:pPr>
        <w:pStyle w:val="ListParagraph"/>
        <w:numPr>
          <w:ilvl w:val="0"/>
          <w:numId w:val="2"/>
        </w:numPr>
        <w:spacing w:after="80" w:line="276"/>
        <w:jc w:val="both"/>
      </w:pPr>
      <w:r>
        <w:rPr>
          <w:rFonts w:ascii="Calibri" w:cs="Calibri" w:eastAsia="Calibri" w:hAnsi="Calibri"/>
          <w:sz w:val="22"/>
          <w:szCs w:val="22"/>
        </w:rPr>
        <w:t xml:space="preserve">La pantalla no anticipa ni sugiere el resultado de la reclamación.</w:t>
      </w:r>
    </w:p>
    <w:p>
      <w:pPr>
        <w:spacing w:after="120" w:line="276"/>
        <w:jc w:val="both"/>
      </w:pPr>
      <w:r>
        <w:rPr>
          <w:rFonts w:ascii="Calibri" w:cs="Calibri" w:eastAsia="Calibri" w:hAnsi="Calibri"/>
          <w:b/>
          <w:bCs/>
          <w:i w:val="false"/>
          <w:iCs w:val="false"/>
          <w:color w:val="000000"/>
          <w:sz w:val="20"/>
          <w:szCs w:val="20"/>
        </w:rPr>
        <w:t xml:space="preserve">Nota de análisis: </w:t>
      </w:r>
      <w:r>
        <w:rPr>
          <w:rFonts w:ascii="Calibri" w:cs="Calibri" w:eastAsia="Calibri" w:hAnsi="Calibri"/>
          <w:b w:val="false"/>
          <w:bCs w:val="false"/>
          <w:i/>
          <w:iCs/>
          <w:color w:val="000000"/>
          <w:sz w:val="20"/>
          <w:szCs w:val="20"/>
        </w:rPr>
        <w:t xml:space="preserve">Historia no completada en el Sprint 2 por subestimación del esfuerzo: el flujo exige validación legal adicional. Trasladada al Sprint 3.</w:t>
      </w:r>
    </w:p>
    <w:p>
      <w:pPr>
        <w:spacing w:after="180"/>
      </w:pPr>
    </w:p>
    <w:p>
      <w:pPr>
        <w:pStyle w:val="Heading2"/>
        <w:spacing w:after="120" w:before="240"/>
      </w:pPr>
      <w:r>
        <w:rPr>
          <w:rFonts w:ascii="Calibri" w:cs="Calibri" w:eastAsia="Calibri" w:hAnsi="Calibri"/>
          <w:b/>
          <w:bCs/>
          <w:color w:val="1F4E79"/>
          <w:sz w:val="25"/>
          <w:szCs w:val="25"/>
        </w:rPr>
        <w:t xml:space="preserve">HU-24 · Simulación de ampliación de cobertura</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7680"/>
      </w:tblGrid>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Historia</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Como asegurado quiero simular el impacto de ampliar mi cobertura para entender qué gano y qué pago adicional.</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Épica</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E4 - Simulador de planes</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Prioridad MoSCoW</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Must have</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Estimación</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13 puntos de historia</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Sprint</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Sprint 3</w:t>
            </w:r>
          </w:p>
        </w:tc>
      </w:tr>
    </w:tbl>
    <w:p>
      <w:pPr>
        <w:spacing w:after="120"/>
      </w:pPr>
    </w:p>
    <w:p>
      <w:pPr>
        <w:pStyle w:val="Heading3"/>
        <w:spacing w:after="100" w:before="200"/>
      </w:pPr>
      <w:r>
        <w:rPr>
          <w:rFonts w:ascii="Calibri" w:cs="Calibri" w:eastAsia="Calibri" w:hAnsi="Calibri"/>
          <w:b/>
          <w:bCs/>
          <w:color w:val="333333"/>
          <w:sz w:val="23"/>
          <w:szCs w:val="23"/>
        </w:rPr>
        <w:t xml:space="preserve">Criterios de aceptación</w:t>
      </w:r>
    </w:p>
    <w:p>
      <w:pPr>
        <w:pStyle w:val="ListParagraph"/>
        <w:numPr>
          <w:ilvl w:val="0"/>
          <w:numId w:val="2"/>
        </w:numPr>
        <w:spacing w:after="80" w:line="276"/>
        <w:jc w:val="both"/>
      </w:pPr>
      <w:r>
        <w:rPr>
          <w:rFonts w:ascii="Calibri" w:cs="Calibri" w:eastAsia="Calibri" w:hAnsi="Calibri"/>
          <w:sz w:val="22"/>
          <w:szCs w:val="22"/>
        </w:rPr>
        <w:t xml:space="preserve">El simulador permite seleccionar una o varias coberturas adicionales sobre el plan actual.</w:t>
      </w:r>
    </w:p>
    <w:p>
      <w:pPr>
        <w:pStyle w:val="ListParagraph"/>
        <w:numPr>
          <w:ilvl w:val="0"/>
          <w:numId w:val="2"/>
        </w:numPr>
        <w:spacing w:after="80" w:line="276"/>
        <w:jc w:val="both"/>
      </w:pPr>
      <w:r>
        <w:rPr>
          <w:rFonts w:ascii="Calibri" w:cs="Calibri" w:eastAsia="Calibri" w:hAnsi="Calibri"/>
          <w:sz w:val="22"/>
          <w:szCs w:val="22"/>
        </w:rPr>
        <w:t xml:space="preserve">El resultado presenta, en paralelo, qué cubre hoy y qué cubriría con la ampliación.</w:t>
      </w:r>
    </w:p>
    <w:p>
      <w:pPr>
        <w:pStyle w:val="ListParagraph"/>
        <w:numPr>
          <w:ilvl w:val="0"/>
          <w:numId w:val="2"/>
        </w:numPr>
        <w:spacing w:after="80" w:line="276"/>
        <w:jc w:val="both"/>
      </w:pPr>
      <w:r>
        <w:rPr>
          <w:rFonts w:ascii="Calibri" w:cs="Calibri" w:eastAsia="Calibri" w:hAnsi="Calibri"/>
          <w:sz w:val="22"/>
          <w:szCs w:val="22"/>
        </w:rPr>
        <w:t xml:space="preserve">El rango de costo adicional se presenta como intervalo referencial, nunca como un valor exacto.</w:t>
      </w:r>
    </w:p>
    <w:p>
      <w:pPr>
        <w:pStyle w:val="ListParagraph"/>
        <w:numPr>
          <w:ilvl w:val="0"/>
          <w:numId w:val="2"/>
        </w:numPr>
        <w:spacing w:after="80" w:line="276"/>
        <w:jc w:val="both"/>
      </w:pPr>
      <w:r>
        <w:rPr>
          <w:rFonts w:ascii="Calibri" w:cs="Calibri" w:eastAsia="Calibri" w:hAnsi="Calibri"/>
          <w:sz w:val="22"/>
          <w:szCs w:val="22"/>
        </w:rPr>
        <w:t xml:space="preserve">El resultado ofrece la acción de solicitar contacto con un asesor.</w:t>
      </w:r>
    </w:p>
    <w:p>
      <w:pPr>
        <w:spacing w:after="120" w:line="276"/>
        <w:jc w:val="both"/>
      </w:pPr>
      <w:r>
        <w:rPr>
          <w:rFonts w:ascii="Calibri" w:cs="Calibri" w:eastAsia="Calibri" w:hAnsi="Calibri"/>
          <w:b/>
          <w:bCs/>
          <w:i w:val="false"/>
          <w:iCs w:val="false"/>
          <w:color w:val="000000"/>
          <w:sz w:val="20"/>
          <w:szCs w:val="20"/>
        </w:rPr>
        <w:t xml:space="preserve">Nota de análisis: </w:t>
      </w:r>
      <w:r>
        <w:rPr>
          <w:rFonts w:ascii="Calibri" w:cs="Calibri" w:eastAsia="Calibri" w:hAnsi="Calibri"/>
          <w:b w:val="false"/>
          <w:bCs w:val="false"/>
          <w:i/>
          <w:iCs/>
          <w:color w:val="000000"/>
          <w:sz w:val="20"/>
          <w:szCs w:val="20"/>
        </w:rPr>
        <w:t xml:space="preserve">Componente de mayor complejidad conceptual del MVP y el más restringido por el área actuarial.</w:t>
      </w:r>
    </w:p>
    <w:p>
      <w:pPr>
        <w:spacing w:after="180"/>
      </w:pPr>
    </w:p>
    <w:p>
      <w:pPr>
        <w:pStyle w:val="Heading2"/>
        <w:spacing w:after="120" w:before="240"/>
      </w:pPr>
      <w:r>
        <w:rPr>
          <w:rFonts w:ascii="Calibri" w:cs="Calibri" w:eastAsia="Calibri" w:hAnsi="Calibri"/>
          <w:b/>
          <w:bCs/>
          <w:color w:val="1F4E79"/>
          <w:sz w:val="25"/>
          <w:szCs w:val="25"/>
        </w:rPr>
        <w:t xml:space="preserve">HU-26 · Notificaciones de vencimiento y renovación</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7680"/>
      </w:tblGrid>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Historia</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Como asegurado quiero recibir notificaciones automáticas de vencimiento y renovación para mantener mi póliza activa.</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Épica</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E6 - Notificaciones y siniestros</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Prioridad MoSCoW</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Must have</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Estimación</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8 puntos de historia</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Sprint</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Sprint 3</w:t>
            </w:r>
          </w:p>
        </w:tc>
      </w:tr>
    </w:tbl>
    <w:p>
      <w:pPr>
        <w:spacing w:after="120"/>
      </w:pPr>
    </w:p>
    <w:p>
      <w:pPr>
        <w:pStyle w:val="Heading3"/>
        <w:spacing w:after="100" w:before="200"/>
      </w:pPr>
      <w:r>
        <w:rPr>
          <w:rFonts w:ascii="Calibri" w:cs="Calibri" w:eastAsia="Calibri" w:hAnsi="Calibri"/>
          <w:b/>
          <w:bCs/>
          <w:color w:val="333333"/>
          <w:sz w:val="23"/>
          <w:szCs w:val="23"/>
        </w:rPr>
        <w:t xml:space="preserve">Criterios de aceptación</w:t>
      </w:r>
    </w:p>
    <w:p>
      <w:pPr>
        <w:pStyle w:val="ListParagraph"/>
        <w:numPr>
          <w:ilvl w:val="0"/>
          <w:numId w:val="2"/>
        </w:numPr>
        <w:spacing w:after="80" w:line="276"/>
        <w:jc w:val="both"/>
      </w:pPr>
      <w:r>
        <w:rPr>
          <w:rFonts w:ascii="Calibri" w:cs="Calibri" w:eastAsia="Calibri" w:hAnsi="Calibri"/>
          <w:sz w:val="22"/>
          <w:szCs w:val="22"/>
        </w:rPr>
        <w:t xml:space="preserve">El sistema notifica el vencimiento próximo, la renovación exitosa y la renovación fallida.</w:t>
      </w:r>
    </w:p>
    <w:p>
      <w:pPr>
        <w:pStyle w:val="ListParagraph"/>
        <w:numPr>
          <w:ilvl w:val="0"/>
          <w:numId w:val="2"/>
        </w:numPr>
        <w:spacing w:after="80" w:line="276"/>
        <w:jc w:val="both"/>
      </w:pPr>
      <w:r>
        <w:rPr>
          <w:rFonts w:ascii="Calibri" w:cs="Calibri" w:eastAsia="Calibri" w:hAnsi="Calibri"/>
          <w:sz w:val="22"/>
          <w:szCs w:val="22"/>
        </w:rPr>
        <w:t xml:space="preserve">Cada notificación enlaza a la pantalla que permite resolver la situación notificada.</w:t>
      </w:r>
    </w:p>
    <w:p>
      <w:pPr>
        <w:pStyle w:val="ListParagraph"/>
        <w:numPr>
          <w:ilvl w:val="0"/>
          <w:numId w:val="2"/>
        </w:numPr>
        <w:spacing w:after="80" w:line="276"/>
        <w:jc w:val="both"/>
      </w:pPr>
      <w:r>
        <w:rPr>
          <w:rFonts w:ascii="Calibri" w:cs="Calibri" w:eastAsia="Calibri" w:hAnsi="Calibri"/>
          <w:sz w:val="22"/>
          <w:szCs w:val="22"/>
        </w:rPr>
        <w:t xml:space="preserve">El asegurado puede consultar el historial de notificaciones recibidas.</w:t>
      </w:r>
    </w:p>
    <w:p>
      <w:pPr>
        <w:spacing w:after="180"/>
      </w:pPr>
    </w:p>
    <w:p>
      <w:pPr>
        <w:pStyle w:val="Heading2"/>
        <w:spacing w:after="120" w:before="240"/>
      </w:pPr>
      <w:r>
        <w:rPr>
          <w:rFonts w:ascii="Calibri" w:cs="Calibri" w:eastAsia="Calibri" w:hAnsi="Calibri"/>
          <w:b/>
          <w:bCs/>
          <w:color w:val="1F4E79"/>
          <w:sz w:val="25"/>
          <w:szCs w:val="25"/>
        </w:rPr>
        <w:t xml:space="preserve">HU-28 · Accesibilidad WCAG 2.1 AA</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7680"/>
      </w:tblGrid>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Historia</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Como asegurado con baja visión quiero que la aplicación cumpla WCAG 2.1 AA para poder leer las condiciones de mi póliza.</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Épica</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E7 - Cumplimiento y accesibilidad</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Prioridad MoSCoW</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Must have</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Estimación</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8 puntos de historia</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Sprint</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Sprint 3</w:t>
            </w:r>
          </w:p>
        </w:tc>
      </w:tr>
    </w:tbl>
    <w:p>
      <w:pPr>
        <w:spacing w:after="120"/>
      </w:pPr>
    </w:p>
    <w:p>
      <w:pPr>
        <w:pStyle w:val="Heading3"/>
        <w:spacing w:after="100" w:before="200"/>
      </w:pPr>
      <w:r>
        <w:rPr>
          <w:rFonts w:ascii="Calibri" w:cs="Calibri" w:eastAsia="Calibri" w:hAnsi="Calibri"/>
          <w:b/>
          <w:bCs/>
          <w:color w:val="333333"/>
          <w:sz w:val="23"/>
          <w:szCs w:val="23"/>
        </w:rPr>
        <w:t xml:space="preserve">Criterios de aceptación</w:t>
      </w:r>
    </w:p>
    <w:p>
      <w:pPr>
        <w:pStyle w:val="ListParagraph"/>
        <w:numPr>
          <w:ilvl w:val="0"/>
          <w:numId w:val="2"/>
        </w:numPr>
        <w:spacing w:after="80" w:line="276"/>
        <w:jc w:val="both"/>
      </w:pPr>
      <w:r>
        <w:rPr>
          <w:rFonts w:ascii="Calibri" w:cs="Calibri" w:eastAsia="Calibri" w:hAnsi="Calibri"/>
          <w:sz w:val="22"/>
          <w:szCs w:val="22"/>
        </w:rPr>
        <w:t xml:space="preserve">El contraste de texto sobre fondo alcanza como mínimo la relación 4,5 a 1 en todo texto de contenido.</w:t>
      </w:r>
    </w:p>
    <w:p>
      <w:pPr>
        <w:pStyle w:val="ListParagraph"/>
        <w:numPr>
          <w:ilvl w:val="0"/>
          <w:numId w:val="2"/>
        </w:numPr>
        <w:spacing w:after="80" w:line="276"/>
        <w:jc w:val="both"/>
      </w:pPr>
      <w:r>
        <w:rPr>
          <w:rFonts w:ascii="Calibri" w:cs="Calibri" w:eastAsia="Calibri" w:hAnsi="Calibri"/>
          <w:sz w:val="22"/>
          <w:szCs w:val="22"/>
        </w:rPr>
        <w:t xml:space="preserve">Ningún estado ni alerta se comunica únicamente mediante color.</w:t>
      </w:r>
    </w:p>
    <w:p>
      <w:pPr>
        <w:pStyle w:val="ListParagraph"/>
        <w:numPr>
          <w:ilvl w:val="0"/>
          <w:numId w:val="2"/>
        </w:numPr>
        <w:spacing w:after="80" w:line="276"/>
        <w:jc w:val="both"/>
      </w:pPr>
      <w:r>
        <w:rPr>
          <w:rFonts w:ascii="Calibri" w:cs="Calibri" w:eastAsia="Calibri" w:hAnsi="Calibri"/>
          <w:sz w:val="22"/>
          <w:szCs w:val="22"/>
        </w:rPr>
        <w:t xml:space="preserve">Los textos admiten ampliación hasta el 200% sin pérdida de contenido ni de funcionalidad.</w:t>
      </w:r>
    </w:p>
    <w:p>
      <w:pPr>
        <w:pStyle w:val="ListParagraph"/>
        <w:numPr>
          <w:ilvl w:val="0"/>
          <w:numId w:val="2"/>
        </w:numPr>
        <w:spacing w:after="80" w:line="276"/>
        <w:jc w:val="both"/>
      </w:pPr>
      <w:r>
        <w:rPr>
          <w:rFonts w:ascii="Calibri" w:cs="Calibri" w:eastAsia="Calibri" w:hAnsi="Calibri"/>
          <w:sz w:val="22"/>
          <w:szCs w:val="22"/>
        </w:rPr>
        <w:t xml:space="preserve">Todos los elementos interactivos tienen etiqueta accesible.</w:t>
      </w:r>
    </w:p>
    <w:p>
      <w:pPr>
        <w:spacing w:after="120" w:line="276"/>
        <w:jc w:val="both"/>
      </w:pPr>
      <w:r>
        <w:rPr>
          <w:rFonts w:ascii="Calibri" w:cs="Calibri" w:eastAsia="Calibri" w:hAnsi="Calibri"/>
          <w:b/>
          <w:bCs/>
          <w:i w:val="false"/>
          <w:iCs w:val="false"/>
          <w:color w:val="000000"/>
          <w:sz w:val="20"/>
          <w:szCs w:val="20"/>
        </w:rPr>
        <w:t xml:space="preserve">Nota de análisis: </w:t>
      </w:r>
      <w:r>
        <w:rPr>
          <w:rFonts w:ascii="Calibri" w:cs="Calibri" w:eastAsia="Calibri" w:hAnsi="Calibri"/>
          <w:b w:val="false"/>
          <w:bCs w:val="false"/>
          <w:i/>
          <w:iCs/>
          <w:color w:val="000000"/>
          <w:sz w:val="20"/>
          <w:szCs w:val="20"/>
        </w:rPr>
        <w:t xml:space="preserve">Derivado de la normativa de protección al consumidor financiero: la información debe ser efectivamente legible.</w:t>
      </w:r>
    </w:p>
    <w:p>
      <w:pPr>
        <w:spacing w:after="180"/>
      </w:pPr>
    </w:p>
    <w:p>
      <w:pPr>
        <w:pStyle w:val="Heading2"/>
        <w:spacing w:after="120" w:before="240"/>
      </w:pPr>
      <w:r>
        <w:rPr>
          <w:rFonts w:ascii="Calibri" w:cs="Calibri" w:eastAsia="Calibri" w:hAnsi="Calibri"/>
          <w:b/>
          <w:bCs/>
          <w:color w:val="1F4E79"/>
          <w:sz w:val="25"/>
          <w:szCs w:val="25"/>
        </w:rPr>
        <w:t xml:space="preserve">HU-39 · Recorrido guiado por usuario externo</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7680"/>
      </w:tblGrid>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Historia</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Como usuario externo al equipo quiero recorrer el prototipo con una guía básica para validar que se entiende sin acompañamiento.</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Épica</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E8 - Gestión del proyecto</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Prioridad MoSCoW</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Must have</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Estimación</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5 puntos de historia</w:t>
            </w:r>
          </w:p>
        </w:tc>
      </w:tr>
      <w:tr>
        <w:tc>
          <w:tcPr>
            <w:tcW w:type="dxa" w:w="2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Sprint</w:t>
            </w:r>
          </w:p>
        </w:tc>
        <w:tc>
          <w:tcPr>
            <w:tcW w:type="dxa" w:w="7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Sprint 6</w:t>
            </w:r>
          </w:p>
        </w:tc>
      </w:tr>
    </w:tbl>
    <w:p>
      <w:pPr>
        <w:spacing w:after="120"/>
      </w:pPr>
    </w:p>
    <w:p>
      <w:pPr>
        <w:pStyle w:val="Heading3"/>
        <w:spacing w:after="100" w:before="200"/>
      </w:pPr>
      <w:r>
        <w:rPr>
          <w:rFonts w:ascii="Calibri" w:cs="Calibri" w:eastAsia="Calibri" w:hAnsi="Calibri"/>
          <w:b/>
          <w:bCs/>
          <w:color w:val="333333"/>
          <w:sz w:val="23"/>
          <w:szCs w:val="23"/>
        </w:rPr>
        <w:t xml:space="preserve">Criterios de aceptación</w:t>
      </w:r>
    </w:p>
    <w:p>
      <w:pPr>
        <w:pStyle w:val="ListParagraph"/>
        <w:numPr>
          <w:ilvl w:val="0"/>
          <w:numId w:val="2"/>
        </w:numPr>
        <w:spacing w:after="80" w:line="276"/>
        <w:jc w:val="both"/>
      </w:pPr>
      <w:r>
        <w:rPr>
          <w:rFonts w:ascii="Calibri" w:cs="Calibri" w:eastAsia="Calibri" w:hAnsi="Calibri"/>
          <w:sz w:val="22"/>
          <w:szCs w:val="22"/>
        </w:rPr>
        <w:t xml:space="preserve">Una persona ajena al equipo completa los seis flujos del objeto del caso sin intervención de un integrante.</w:t>
      </w:r>
    </w:p>
    <w:p>
      <w:pPr>
        <w:pStyle w:val="ListParagraph"/>
        <w:numPr>
          <w:ilvl w:val="0"/>
          <w:numId w:val="2"/>
        </w:numPr>
        <w:spacing w:after="80" w:line="276"/>
        <w:jc w:val="both"/>
      </w:pPr>
      <w:r>
        <w:rPr>
          <w:rFonts w:ascii="Calibri" w:cs="Calibri" w:eastAsia="Calibri" w:hAnsi="Calibri"/>
          <w:sz w:val="22"/>
          <w:szCs w:val="22"/>
        </w:rPr>
        <w:t xml:space="preserve">El recorrido queda registrado como evidencia de simulación de despliegue.</w:t>
      </w:r>
    </w:p>
    <w:p>
      <w:pPr>
        <w:pStyle w:val="ListParagraph"/>
        <w:numPr>
          <w:ilvl w:val="0"/>
          <w:numId w:val="2"/>
        </w:numPr>
        <w:spacing w:after="80" w:line="276"/>
        <w:jc w:val="both"/>
      </w:pPr>
      <w:r>
        <w:rPr>
          <w:rFonts w:ascii="Calibri" w:cs="Calibri" w:eastAsia="Calibri" w:hAnsi="Calibri"/>
          <w:sz w:val="22"/>
          <w:szCs w:val="22"/>
        </w:rPr>
        <w:t xml:space="preserve">Las dificultades observadas quedan documentadas aunque el proyecto ya no alcance a corregirlas.</w:t>
      </w:r>
    </w:p>
    <w:p>
      <w:pPr>
        <w:spacing w:after="120" w:line="276"/>
        <w:jc w:val="both"/>
      </w:pPr>
      <w:r>
        <w:rPr>
          <w:rFonts w:ascii="Calibri" w:cs="Calibri" w:eastAsia="Calibri" w:hAnsi="Calibri"/>
          <w:b/>
          <w:bCs/>
          <w:i w:val="false"/>
          <w:iCs w:val="false"/>
          <w:color w:val="000000"/>
          <w:sz w:val="20"/>
          <w:szCs w:val="20"/>
        </w:rPr>
        <w:t xml:space="preserve">Nota de análisis: </w:t>
      </w:r>
      <w:r>
        <w:rPr>
          <w:rFonts w:ascii="Calibri" w:cs="Calibri" w:eastAsia="Calibri" w:hAnsi="Calibri"/>
          <w:b w:val="false"/>
          <w:bCs w:val="false"/>
          <w:i/>
          <w:iCs/>
          <w:color w:val="000000"/>
          <w:sz w:val="20"/>
          <w:szCs w:val="20"/>
        </w:rPr>
        <w:t xml:space="preserve">Entregable obligatorio de la Fase Técnica 5: Implantación.</w:t>
      </w:r>
    </w:p>
    <w:p>
      <w:pPr>
        <w:spacing w:after="180"/>
      </w:pPr>
    </w:p>
    <w:p>
      <w:r>
        <w:br w:type="page"/>
      </w:r>
    </w:p>
    <w:p>
      <w:pPr>
        <w:pStyle w:val="Heading1"/>
        <w:spacing w:after="160" w:before="320"/>
      </w:pPr>
      <w:r>
        <w:rPr>
          <w:rFonts w:ascii="Calibri" w:cs="Calibri" w:eastAsia="Calibri" w:hAnsi="Calibri"/>
          <w:b/>
          <w:bCs/>
          <w:color w:val="1F4E79"/>
          <w:sz w:val="30"/>
          <w:szCs w:val="30"/>
        </w:rPr>
        <w:t xml:space="preserve">3. Requerimientos no funcionales</w:t>
      </w:r>
    </w:p>
    <w:p>
      <w:pPr>
        <w:spacing w:after="120" w:line="276"/>
        <w:jc w:val="both"/>
      </w:pPr>
      <w:r>
        <w:rPr>
          <w:rFonts w:ascii="Calibri" w:cs="Calibri" w:eastAsia="Calibri" w:hAnsi="Calibri"/>
          <w:b w:val="false"/>
          <w:bCs w:val="false"/>
          <w:i w:val="false"/>
          <w:iCs w:val="false"/>
          <w:color w:val="000000"/>
          <w:sz w:val="22"/>
          <w:szCs w:val="22"/>
        </w:rPr>
        <w:t xml:space="preserve">Dado que el producto es un prototipo navegable y no un sistema en operación, los requerimientos no funcionales se expresan como propiedades verificables del diseño y no como métricas de ejecución en producción.</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1900"/>
        <w:gridCol w:w="4100"/>
        <w:gridCol w:w="3080"/>
      </w:tblGrid>
      <w:tr>
        <w:trPr>
          <w:tblHeader/>
        </w:trPr>
        <w:tc>
          <w:tcPr>
            <w:tcW w:type="dxa" w:w="10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ID</w:t>
            </w:r>
          </w:p>
        </w:tc>
        <w:tc>
          <w:tcPr>
            <w:tcW w:type="dxa" w:w="19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Categoría</w:t>
            </w:r>
          </w:p>
        </w:tc>
        <w:tc>
          <w:tcPr>
            <w:tcW w:type="dxa" w:w="41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Requerimiento</w:t>
            </w:r>
          </w:p>
        </w:tc>
        <w:tc>
          <w:tcPr>
            <w:tcW w:type="dxa" w:w="308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Criterio de verificación</w:t>
            </w:r>
          </w:p>
        </w:tc>
      </w:tr>
      <w:tr>
        <w:tc>
          <w:tcPr>
            <w:tcW w:type="dxa" w:w="10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RNF-01</w:t>
            </w:r>
          </w:p>
        </w:tc>
        <w:tc>
          <w:tcPr>
            <w:tcW w:type="dxa" w:w="19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Cumplimiento normativo</w:t>
            </w:r>
          </w:p>
        </w:tc>
        <w:tc>
          <w:tcPr>
            <w:tcW w:type="dxa" w:w="41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Toda información contractual mostrada debe corresponder a una versión identificada del clausulado oficial.</w:t>
            </w:r>
          </w:p>
        </w:tc>
        <w:tc>
          <w:tcPr>
            <w:tcW w:type="dxa" w:w="30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Revisión formal del área Legal con acta.</w:t>
            </w:r>
          </w:p>
        </w:tc>
      </w:tr>
      <w:tr>
        <w:tc>
          <w:tcPr>
            <w:tcW w:type="dxa" w:w="10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RNF-02</w:t>
            </w:r>
          </w:p>
        </w:tc>
        <w:tc>
          <w:tcPr>
            <w:tcW w:type="dxa" w:w="19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Restricción actuarial</w:t>
            </w:r>
          </w:p>
        </w:tc>
        <w:tc>
          <w:tcPr>
            <w:tcW w:type="dxa" w:w="41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El prototipo no altera, calcula ni expone tarifas de primas reales.</w:t>
            </w:r>
          </w:p>
        </w:tc>
        <w:tc>
          <w:tcPr>
            <w:tcW w:type="dxa" w:w="30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Validación del consultor actuarial externo.</w:t>
            </w:r>
          </w:p>
        </w:tc>
      </w:tr>
      <w:tr>
        <w:tc>
          <w:tcPr>
            <w:tcW w:type="dxa" w:w="10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RNF-03</w:t>
            </w:r>
          </w:p>
        </w:tc>
        <w:tc>
          <w:tcPr>
            <w:tcW w:type="dxa" w:w="19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Accesibilidad</w:t>
            </w:r>
          </w:p>
        </w:tc>
        <w:tc>
          <w:tcPr>
            <w:tcW w:type="dxa" w:w="41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Cumplimiento de WCAG 2.1 nivel AA en las pantallas del MVP.</w:t>
            </w:r>
          </w:p>
        </w:tc>
        <w:tc>
          <w:tcPr>
            <w:tcW w:type="dxa" w:w="30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Auditoría de accesibilidad.</w:t>
            </w:r>
          </w:p>
        </w:tc>
      </w:tr>
      <w:tr>
        <w:tc>
          <w:tcPr>
            <w:tcW w:type="dxa" w:w="10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RNF-04</w:t>
            </w:r>
          </w:p>
        </w:tc>
        <w:tc>
          <w:tcPr>
            <w:tcW w:type="dxa" w:w="19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Comprensibilidad</w:t>
            </w:r>
          </w:p>
        </w:tc>
        <w:tc>
          <w:tcPr>
            <w:tcW w:type="dxa" w:w="41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Los textos simplificados deben ser comprendidos sin ayuda por el asegurado.</w:t>
            </w:r>
          </w:p>
        </w:tc>
        <w:tc>
          <w:tcPr>
            <w:tcW w:type="dxa" w:w="30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Tasa de éxito igual o superior al 80% en pruebas de usabilidad.</w:t>
            </w:r>
          </w:p>
        </w:tc>
      </w:tr>
      <w:tr>
        <w:tc>
          <w:tcPr>
            <w:tcW w:type="dxa" w:w="10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RNF-05</w:t>
            </w:r>
          </w:p>
        </w:tc>
        <w:tc>
          <w:tcPr>
            <w:tcW w:type="dxa" w:w="19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Consistencia visual</w:t>
            </w:r>
          </w:p>
        </w:tc>
        <w:tc>
          <w:tcPr>
            <w:tcW w:type="dxa" w:w="41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Todas las pantallas se construyen sobre el Design System aprobado.</w:t>
            </w:r>
          </w:p>
        </w:tc>
        <w:tc>
          <w:tcPr>
            <w:tcW w:type="dxa" w:w="30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Revisión cruzada de GUI mediante pull requests.</w:t>
            </w:r>
          </w:p>
        </w:tc>
      </w:tr>
      <w:tr>
        <w:tc>
          <w:tcPr>
            <w:tcW w:type="dxa" w:w="10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RNF-06</w:t>
            </w:r>
          </w:p>
        </w:tc>
        <w:tc>
          <w:tcPr>
            <w:tcW w:type="dxa" w:w="19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Navegabilidad</w:t>
            </w:r>
          </w:p>
        </w:tc>
        <w:tc>
          <w:tcPr>
            <w:tcW w:type="dxa" w:w="41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Los seis flujos del objeto del caso deben ser recorribles de extremo a extremo.</w:t>
            </w:r>
          </w:p>
        </w:tc>
        <w:tc>
          <w:tcPr>
            <w:tcW w:type="dxa" w:w="30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Simulación de uso por persona ajena al equipo.</w:t>
            </w:r>
          </w:p>
        </w:tc>
      </w:tr>
      <w:tr>
        <w:tc>
          <w:tcPr>
            <w:tcW w:type="dxa" w:w="10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RNF-07</w:t>
            </w:r>
          </w:p>
        </w:tc>
        <w:tc>
          <w:tcPr>
            <w:tcW w:type="dxa" w:w="19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Integración conceptual</w:t>
            </w:r>
          </w:p>
        </w:tc>
        <w:tc>
          <w:tcPr>
            <w:tcW w:type="dxa" w:w="41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La arquitectura de información debe ser coherente con la plataforma de Insurance-as-a-Service existente.</w:t>
            </w:r>
          </w:p>
        </w:tc>
        <w:tc>
          <w:tcPr>
            <w:tcW w:type="dxa" w:w="30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Revisión conjunta con el área de Producto.</w:t>
            </w:r>
          </w:p>
        </w:tc>
      </w:tr>
      <w:tr>
        <w:tc>
          <w:tcPr>
            <w:tcW w:type="dxa" w:w="10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RNF-08</w:t>
            </w:r>
          </w:p>
        </w:tc>
        <w:tc>
          <w:tcPr>
            <w:tcW w:type="dxa" w:w="19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Trazabilidad</w:t>
            </w:r>
          </w:p>
        </w:tc>
        <w:tc>
          <w:tcPr>
            <w:tcW w:type="dxa" w:w="41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Cada pantalla debe poder rastrearse a la historia de usuario que la origina.</w:t>
            </w:r>
          </w:p>
        </w:tc>
        <w:tc>
          <w:tcPr>
            <w:tcW w:type="dxa" w:w="30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Matriz de trazabilidad en el repositorio documental.</w:t>
            </w:r>
          </w:p>
        </w:tc>
      </w:tr>
      <w:tr>
        <w:tc>
          <w:tcPr>
            <w:tcW w:type="dxa" w:w="10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RNF-09</w:t>
            </w:r>
          </w:p>
        </w:tc>
        <w:tc>
          <w:tcPr>
            <w:tcW w:type="dxa" w:w="19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Tono comunicativo</w:t>
            </w:r>
          </w:p>
        </w:tc>
        <w:tc>
          <w:tcPr>
            <w:tcW w:type="dxa" w:w="41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Ninguna pantalla puede emplear presión comercial sobre decisiones de cobertura.</w:t>
            </w:r>
          </w:p>
        </w:tc>
        <w:tc>
          <w:tcPr>
            <w:tcW w:type="dxa" w:w="30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Revisión de microcopy por Legal y por el líder de Análisis.</w:t>
            </w:r>
          </w:p>
        </w:tc>
      </w:tr>
    </w:tbl>
    <w:p>
      <w:pPr>
        <w:pStyle w:val="Heading1"/>
        <w:spacing w:after="160" w:before="320"/>
      </w:pPr>
      <w:r>
        <w:rPr>
          <w:rFonts w:ascii="Calibri" w:cs="Calibri" w:eastAsia="Calibri" w:hAnsi="Calibri"/>
          <w:b/>
          <w:bCs/>
          <w:color w:val="1F4E79"/>
          <w:sz w:val="30"/>
          <w:szCs w:val="30"/>
        </w:rPr>
        <w:t xml:space="preserve">4. Trazabilidad con el objeto del caso</w:t>
      </w:r>
    </w:p>
    <w:p>
      <w:pPr>
        <w:spacing w:after="120" w:line="276"/>
        <w:jc w:val="both"/>
      </w:pPr>
      <w:r>
        <w:rPr>
          <w:rFonts w:ascii="Calibri" w:cs="Calibri" w:eastAsia="Calibri" w:hAnsi="Calibri"/>
          <w:b w:val="false"/>
          <w:bCs w:val="false"/>
          <w:i w:val="false"/>
          <w:iCs w:val="false"/>
          <w:color w:val="000000"/>
          <w:sz w:val="22"/>
          <w:szCs w:val="22"/>
        </w:rPr>
        <w:t xml:space="preserve">El numeral 3.4 del documento del caso establece seis capacidades que la aplicación debe permitir. La siguiente matriz verifica que ninguna quedó sin cubrir:</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4600"/>
        <w:gridCol w:w="3400"/>
        <w:gridCol w:w="2080"/>
      </w:tblGrid>
      <w:tr>
        <w:trPr>
          <w:tblHeader/>
        </w:trPr>
        <w:tc>
          <w:tcPr>
            <w:tcW w:type="dxa" w:w="46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Capacidad exigida en el objeto del caso</w:t>
            </w:r>
          </w:p>
        </w:tc>
        <w:tc>
          <w:tcPr>
            <w:tcW w:type="dxa" w:w="34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Historias que la cubren</w:t>
            </w:r>
          </w:p>
        </w:tc>
        <w:tc>
          <w:tcPr>
            <w:tcW w:type="dxa" w:w="208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Estado al corte</w:t>
            </w:r>
          </w:p>
        </w:tc>
      </w:tr>
      <w:tr>
        <w:tc>
          <w:tcPr>
            <w:tcW w:type="dxa" w:w="46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Visualizar resumen de la póliza activa y estado de cobertura</w:t>
            </w:r>
          </w:p>
        </w:tc>
        <w:tc>
          <w:tcPr>
            <w:tcW w:type="dxa" w:w="34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HU-07, HU-08, HU-11, HU-29</w:t>
            </w:r>
          </w:p>
        </w:tc>
        <w:tc>
          <w:tcPr>
            <w:tcW w:type="dxa" w:w="20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Cubierta</w:t>
            </w:r>
          </w:p>
        </w:tc>
      </w:tr>
      <w:tr>
        <w:tc>
          <w:tcPr>
            <w:tcW w:type="dxa" w:w="46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Consultar detalle de primas, coberturas y exclusiones</w:t>
            </w:r>
          </w:p>
        </w:tc>
        <w:tc>
          <w:tcPr>
            <w:tcW w:type="dxa" w:w="34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HU-12, HU-13, HU-14, HU-20, HU-31</w:t>
            </w:r>
          </w:p>
        </w:tc>
        <w:tc>
          <w:tcPr>
            <w:tcW w:type="dxa" w:w="20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Cubierta</w:t>
            </w:r>
          </w:p>
        </w:tc>
      </w:tr>
      <w:tr>
        <w:tc>
          <w:tcPr>
            <w:tcW w:type="dxa" w:w="46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Mostrar fechas de vigencia y alertas de renovación o vencimiento</w:t>
            </w:r>
          </w:p>
        </w:tc>
        <w:tc>
          <w:tcPr>
            <w:tcW w:type="dxa" w:w="34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HU-15, HU-16, HU-32</w:t>
            </w:r>
          </w:p>
        </w:tc>
        <w:tc>
          <w:tcPr>
            <w:tcW w:type="dxa" w:w="20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Cubierta</w:t>
            </w:r>
          </w:p>
        </w:tc>
      </w:tr>
      <w:tr>
        <w:tc>
          <w:tcPr>
            <w:tcW w:type="dxa" w:w="46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Simular impacto de cambio de plan o ampliación de cobertura</w:t>
            </w:r>
          </w:p>
        </w:tc>
        <w:tc>
          <w:tcPr>
            <w:tcW w:type="dxa" w:w="34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HU-22, HU-24, HU-25, HU-38</w:t>
            </w:r>
          </w:p>
        </w:tc>
        <w:tc>
          <w:tcPr>
            <w:tcW w:type="dxa" w:w="20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Cubierta</w:t>
            </w:r>
          </w:p>
        </w:tc>
      </w:tr>
      <w:tr>
        <w:tc>
          <w:tcPr>
            <w:tcW w:type="dxa" w:w="46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Incluir mensajes educativos sobre protección y uso del seguro</w:t>
            </w:r>
          </w:p>
        </w:tc>
        <w:tc>
          <w:tcPr>
            <w:tcW w:type="dxa" w:w="34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HU-21, HU-27, HU-33</w:t>
            </w:r>
          </w:p>
        </w:tc>
        <w:tc>
          <w:tcPr>
            <w:tcW w:type="dxa" w:w="20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Cubierta</w:t>
            </w:r>
          </w:p>
        </w:tc>
      </w:tr>
      <w:tr>
        <w:tc>
          <w:tcPr>
            <w:tcW w:type="dxa" w:w="46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Presentar notificaciones automáticas de vencimiento, renovación y estado de siniestros</w:t>
            </w:r>
          </w:p>
        </w:tc>
        <w:tc>
          <w:tcPr>
            <w:tcW w:type="dxa" w:w="34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HU-23, HU-26, HU-30, HU-34, HU-40</w:t>
            </w:r>
          </w:p>
        </w:tc>
        <w:tc>
          <w:tcPr>
            <w:tcW w:type="dxa" w:w="20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Cubierta</w:t>
            </w:r>
          </w:p>
        </w:tc>
      </w:tr>
    </w:tbl>
    <w:p>
      <w:pPr>
        <w:spacing w:after="320"/>
      </w:pPr>
    </w:p>
    <w:p>
      <w:pPr>
        <w:pStyle w:val="Heading2"/>
        <w:spacing w:after="120" w:before="240"/>
      </w:pPr>
      <w:r>
        <w:rPr>
          <w:rFonts w:ascii="Calibri" w:cs="Calibri" w:eastAsia="Calibri" w:hAnsi="Calibri"/>
          <w:b/>
          <w:bCs/>
          <w:color w:val="1F4E79"/>
          <w:sz w:val="25"/>
          <w:szCs w:val="25"/>
        </w:rPr>
        <w:t xml:space="preserve">Control de versiones del documento</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1600"/>
        <w:gridCol w:w="3000"/>
        <w:gridCol w:w="4280"/>
      </w:tblGrid>
      <w:tr>
        <w:trPr>
          <w:tblHeader/>
        </w:trPr>
        <w:tc>
          <w:tcPr>
            <w:tcW w:type="dxa" w:w="12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Versión</w:t>
            </w:r>
          </w:p>
        </w:tc>
        <w:tc>
          <w:tcPr>
            <w:tcW w:type="dxa" w:w="16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Fecha</w:t>
            </w:r>
          </w:p>
        </w:tc>
        <w:tc>
          <w:tcPr>
            <w:tcW w:type="dxa" w:w="30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Autor</w:t>
            </w:r>
          </w:p>
        </w:tc>
        <w:tc>
          <w:tcPr>
            <w:tcW w:type="dxa" w:w="428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Descripción del cambio</w:t>
            </w:r>
          </w:p>
        </w:tc>
      </w:tr>
      <w:tr>
        <w:tc>
          <w:tcPr>
            <w:tcW w:type="dxa" w:w="12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1.0</w:t>
            </w:r>
          </w:p>
        </w:tc>
        <w:tc>
          <w:tcPr>
            <w:tcW w:type="dxa" w:w="16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17/09/2026</w:t>
            </w:r>
          </w:p>
        </w:tc>
        <w:tc>
          <w:tcPr>
            <w:tcW w:type="dxa" w:w="30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Santiago Arias Mosquera</w:t>
            </w:r>
          </w:p>
        </w:tc>
        <w:tc>
          <w:tcPr>
            <w:tcW w:type="dxa" w:w="42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Versión inicial. Historias de los sprints 1 a 3 detalladas; refinamiento de sprints posteriores pendiente.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Caso 10 - Monokera  |  Página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de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spacing w:after="60"/>
      <w:jc w:val="right"/>
    </w:pPr>
    <w:r>
      <w:rPr>
        <w:rFonts w:ascii="Calibri" w:cs="Calibri" w:eastAsia="Calibri" w:hAnsi="Calibri"/>
        <w:color w:val="808080"/>
        <w:sz w:val="16"/>
        <w:szCs w:val="16"/>
      </w:rPr>
      <w:t xml:space="preserve">Historias de Usuario y Requerimientos  |  Caso 10 - Monokera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Historias de Usuario y Requerimientos - Caso 10 Monokera</dc:title>
  <dc:creator>Equipo Caso 10 - Monokera</dc:creator>
  <dc:description>Especificación funcional del MVP</dc:description>
  <cp:lastModifiedBy>Un-named</cp:lastModifiedBy>
  <cp:revision>1</cp:revision>
  <dcterms:created xsi:type="dcterms:W3CDTF">2026-10-16T00:18:08.043Z</dcterms:created>
  <dcterms:modified xsi:type="dcterms:W3CDTF">2026-10-16T00:18:08.043Z</dcterms:modified>
</cp:coreProperties>
</file>

<file path=docProps/custom.xml><?xml version="1.0" encoding="utf-8"?>
<Properties xmlns="http://schemas.openxmlformats.org/officeDocument/2006/custom-properties" xmlns:vt="http://schemas.openxmlformats.org/officeDocument/2006/docPropsVTypes"/>
</file>