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INSTITUCIÓN UNIVERSITARIA EAM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Programa de Ingeniería de Software  |  Desarrollo en Equipo  |  Semestre VIII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REPORTE DE SEGUIMIENTO 1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Corte del 21 al 26 de septiembre de 2026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00"/>
        <w:gridCol w:w="6680"/>
      </w:tblGrid>
      <w:tr>
        <w:tc>
          <w:tcPr>
            <w:tcW w:type="dxa" w:w="3400"/>
            <w:gridSpan w:val="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Caso asignado</w:t>
            </w:r>
          </w:p>
        </w:tc>
        <w:tc>
          <w:tcPr>
            <w:tcW w:type="dxa" w:w="66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Caso 10 - Monokera</w:t>
            </w:r>
          </w:p>
        </w:tc>
      </w:tr>
      <w:tr>
        <w:tc>
          <w:tcPr>
            <w:tcW w:type="dxa" w:w="3400"/>
            <w:gridSpan w:val="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Código del proyecto</w:t>
            </w:r>
          </w:p>
        </w:tc>
        <w:tc>
          <w:tcPr>
            <w:tcW w:type="dxa" w:w="66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PI-2026-2-C10-MONOKERA</w:t>
            </w:r>
          </w:p>
        </w:tc>
      </w:tr>
      <w:tr>
        <w:tc>
          <w:tcPr>
            <w:tcW w:type="dxa" w:w="3400"/>
            <w:gridSpan w:val="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Periodo reportado</w:t>
            </w:r>
          </w:p>
        </w:tc>
        <w:tc>
          <w:tcPr>
            <w:tcW w:type="dxa" w:w="66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28 de agosto al 24 de septiembre de 2026 (quincenas Q1 y Q2)</w:t>
            </w:r>
          </w:p>
        </w:tc>
      </w:tr>
      <w:tr>
        <w:tc>
          <w:tcPr>
            <w:tcW w:type="dxa" w:w="3400"/>
            <w:gridSpan w:val="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Sprints cubiertos</w:t>
            </w:r>
          </w:p>
        </w:tc>
        <w:tc>
          <w:tcPr>
            <w:tcW w:type="dxa" w:w="66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1 y Sprint 2</w:t>
            </w:r>
          </w:p>
        </w:tc>
      </w:tr>
      <w:tr>
        <w:tc>
          <w:tcPr>
            <w:tcW w:type="dxa" w:w="3400"/>
            <w:gridSpan w:val="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Fase técnica en curso</w:t>
            </w:r>
          </w:p>
        </w:tc>
        <w:tc>
          <w:tcPr>
            <w:tcW w:type="dxa" w:w="66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Fase Técnica 1: Análisis</w:t>
            </w:r>
          </w:p>
        </w:tc>
      </w:tr>
      <w:tr>
        <w:tc>
          <w:tcPr>
            <w:tcW w:type="dxa" w:w="3400"/>
            <w:gridSpan w:val="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66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Marlon Andres Campo - Líder de Seguimiento y Control</w:t>
            </w:r>
          </w:p>
        </w:tc>
      </w:tr>
      <w:tr>
        <w:tc>
          <w:tcPr>
            <w:tcW w:type="dxa" w:w="3400"/>
            <w:gridSpan w:val="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Versión del documento</w:t>
            </w:r>
          </w:p>
        </w:tc>
        <w:tc>
          <w:tcPr>
            <w:tcW w:type="dxa" w:w="66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400"/>
            <w:gridSpan w:val="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Docente responsable</w:t>
            </w:r>
          </w:p>
        </w:tc>
        <w:tc>
          <w:tcPr>
            <w:tcW w:type="dxa" w:w="66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Fabian Danilo Pérez Díaz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Resumen ejecutivo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proyecto cierra su primer corte de seguimiento con ambos indicadores obligatorios dentro de meta. El cumplimiento de sprint acumulado es de 82,6% frente a una meta mínima de 80%, y la desviación presupuestal acumulada es de +6,0% frente a un límite permitido de ±10%. La fase de Planeación cerró completa y la Fase Técnica 1 de Análisis se encuentra al 80,3% de avance, con cierre previsto para el 24 de septiembre.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obstante, ambos indicadores se acercan a sus umbrales por la misma causa: la intervención del área Legal resultó más intensa de lo estimado. Esto generó un sobrecosto de $2.900.000 en asesoría legal y dejó cuatro historias sin completar. Dos riesgos se materializaron durante el periodo (R-02 y R-07) y están documentados como incidentes con su tratamiento en curso. El equipo adoptó cinco acciones correctivas que se detallan en el numeral 7.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Tablero de indicadores del corte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1700"/>
        <w:gridCol w:w="1900"/>
        <w:gridCol w:w="1700"/>
        <w:gridCol w:w="1780"/>
      </w:tblGrid>
      <w:tr>
        <w:trPr>
          <w:tblHeader/>
        </w:trPr>
        <w:tc>
          <w:tcPr>
            <w:tcW w:type="dxa" w:w="30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17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al corte</w:t>
            </w:r>
          </w:p>
        </w:tc>
        <w:tc>
          <w:tcPr>
            <w:tcW w:type="dxa" w:w="19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17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78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Tendencia</w:t>
            </w:r>
          </w:p>
        </w:tc>
      </w:tr>
      <w:tr>
        <w:tc>
          <w:tcPr>
            <w:tcW w:type="dxa" w:w="30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Indicador 1 - Cumplimiento de Sprint</w:t>
            </w:r>
          </w:p>
        </w:tc>
        <w:tc>
          <w:tcPr>
            <w:tcW w:type="dxa" w:w="17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82,6%</w:t>
            </w:r>
          </w:p>
        </w:tc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Mínimo 80%</w:t>
            </w:r>
          </w:p>
        </w:tc>
        <w:tc>
          <w:tcPr>
            <w:tcW w:type="dxa" w:w="1700"/>
            <w:gridSpan w:val="1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CUMPLE</w:t>
            </w:r>
          </w:p>
        </w:tc>
        <w:tc>
          <w:tcPr>
            <w:tcW w:type="dxa" w:w="17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 alza: 81,8% en Sprint 1 y 83,3% en Sprint 2.</w:t>
            </w:r>
          </w:p>
        </w:tc>
      </w:tr>
      <w:tr>
        <w:tc>
          <w:tcPr>
            <w:tcW w:type="dxa" w:w="30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Indicador 2 - Desviación Presupuestal</w:t>
            </w:r>
          </w:p>
        </w:tc>
        <w:tc>
          <w:tcPr>
            <w:tcW w:type="dxa" w:w="17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+6,0%</w:t>
            </w:r>
          </w:p>
        </w:tc>
        <w:tc>
          <w:tcPr>
            <w:tcW w:type="dxa" w:w="19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Máximo ±10%</w:t>
            </w:r>
          </w:p>
        </w:tc>
        <w:tc>
          <w:tcPr>
            <w:tcW w:type="dxa" w:w="1700"/>
            <w:gridSpan w:val="1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CUMPLE</w:t>
            </w:r>
          </w:p>
        </w:tc>
        <w:tc>
          <w:tcPr>
            <w:tcW w:type="dxa" w:w="17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 alza: +2,4% en Q1 y +6,0% acumulado en Q2.</w:t>
            </w:r>
          </w:p>
        </w:tc>
      </w:tr>
      <w:tr>
        <w:tc>
          <w:tcPr>
            <w:tcW w:type="dxa" w:w="30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Avance global ponderado del proyecto</w:t>
            </w:r>
          </w:p>
        </w:tc>
        <w:tc>
          <w:tcPr>
            <w:tcW w:type="dxa" w:w="17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29,5%</w:t>
            </w:r>
          </w:p>
        </w:tc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Tiempo transcurrido: 25,0%</w:t>
            </w:r>
          </w:p>
        </w:tc>
        <w:tc>
          <w:tcPr>
            <w:tcW w:type="dxa" w:w="1700"/>
            <w:gridSpan w:val="1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ADELANTADO</w:t>
            </w:r>
          </w:p>
        </w:tc>
        <w:tc>
          <w:tcPr>
            <w:tcW w:type="dxa" w:w="17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avance ponderado supera al tiempo consumido.</w:t>
            </w:r>
          </w:p>
        </w:tc>
      </w:tr>
      <w:tr>
        <w:tc>
          <w:tcPr>
            <w:tcW w:type="dxa" w:w="30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Riesgos materializados</w:t>
            </w:r>
          </w:p>
        </w:tc>
        <w:tc>
          <w:tcPr>
            <w:tcW w:type="dxa" w:w="17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de 15</w:t>
            </w:r>
          </w:p>
        </w:tc>
        <w:tc>
          <w:tcPr>
            <w:tcW w:type="dxa" w:w="19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700"/>
            <w:gridSpan w:val="1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EN TRATAMIENTO</w:t>
            </w:r>
          </w:p>
        </w:tc>
        <w:tc>
          <w:tcPr>
            <w:tcW w:type="dxa" w:w="17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R-02 y R-07, ambos con plan activo.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Lectura de la tendencia: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ambos indicadores cumplen, pero la desviación presupuestal pasó de +2,4% a +6,0% en una sola quincena. A ese ritmo, el límite del 10% se alcanzaría en el siguiente corte. Por eso las acciones correctivas de este reporte se concentran en el control del gasto de asesoría externa y no en el cumplimiento de sprint, que tiene mayor holgura.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Avance técnico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2.1. Estado de las fases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300"/>
        <w:gridCol w:w="2300"/>
        <w:gridCol w:w="1300"/>
        <w:gridCol w:w="1580"/>
      </w:tblGrid>
      <w:tr>
        <w:trPr>
          <w:tblHeader/>
        </w:trPr>
        <w:tc>
          <w:tcPr>
            <w:tcW w:type="dxa" w:w="26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3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Líder</w:t>
            </w:r>
          </w:p>
        </w:tc>
        <w:tc>
          <w:tcPr>
            <w:tcW w:type="dxa" w:w="23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Periodo planificado</w:t>
            </w:r>
          </w:p>
        </w:tc>
        <w:tc>
          <w:tcPr>
            <w:tcW w:type="dxa" w:w="13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avance</w:t>
            </w:r>
          </w:p>
        </w:tc>
        <w:tc>
          <w:tcPr>
            <w:tcW w:type="dxa" w:w="158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Planeación (administrativa)</w:t>
            </w:r>
          </w:p>
        </w:tc>
        <w:tc>
          <w:tcPr>
            <w:tcW w:type="dxa" w:w="2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Santiago Arias Mosquera</w:t>
            </w:r>
          </w:p>
        </w:tc>
        <w:tc>
          <w:tcPr>
            <w:tcW w:type="dxa" w:w="2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28/08 - 10/09/2026</w:t>
            </w:r>
          </w:p>
        </w:tc>
        <w:tc>
          <w:tcPr>
            <w:tcW w:type="dxa" w:w="1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580"/>
            <w:gridSpan w:val="1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Cerrada</w:t>
            </w:r>
          </w:p>
        </w:tc>
      </w:tr>
      <w:tr>
        <w:tc>
          <w:tcPr>
            <w:tcW w:type="dxa" w:w="26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Fase Técnica 1: Análisis</w:t>
            </w:r>
          </w:p>
        </w:tc>
        <w:tc>
          <w:tcPr>
            <w:tcW w:type="dxa" w:w="23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Santiago Arias Mosquera</w:t>
            </w:r>
          </w:p>
        </w:tc>
        <w:tc>
          <w:tcPr>
            <w:tcW w:type="dxa" w:w="23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03/09 - 24/09/2026</w:t>
            </w:r>
          </w:p>
        </w:tc>
        <w:tc>
          <w:tcPr>
            <w:tcW w:type="dxa" w:w="13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80,3%</w:t>
            </w:r>
          </w:p>
        </w:tc>
        <w:tc>
          <w:tcPr>
            <w:tcW w:type="dxa" w:w="1580"/>
            <w:gridSpan w:val="1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 curso</w:t>
            </w:r>
          </w:p>
        </w:tc>
      </w:tr>
      <w:tr>
        <w:tc>
          <w:tcPr>
            <w:tcW w:type="dxa" w:w="2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Fase Técnica 2: Diseño</w:t>
            </w:r>
          </w:p>
        </w:tc>
        <w:tc>
          <w:tcPr>
            <w:tcW w:type="dxa" w:w="2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Esteban Pineda Ardila</w:t>
            </w:r>
          </w:p>
        </w:tc>
        <w:tc>
          <w:tcPr>
            <w:tcW w:type="dxa" w:w="2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25/09 - 15/10/2026</w:t>
            </w:r>
          </w:p>
        </w:tc>
        <w:tc>
          <w:tcPr>
            <w:tcW w:type="dxa" w:w="1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15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iniciada</w:t>
            </w:r>
          </w:p>
        </w:tc>
      </w:tr>
      <w:tr>
        <w:tc>
          <w:tcPr>
            <w:tcW w:type="dxa" w:w="26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Fase Técnica 3: Implementación</w:t>
            </w:r>
          </w:p>
        </w:tc>
        <w:tc>
          <w:tcPr>
            <w:tcW w:type="dxa" w:w="23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Marlon Andres Campo</w:t>
            </w:r>
          </w:p>
        </w:tc>
        <w:tc>
          <w:tcPr>
            <w:tcW w:type="dxa" w:w="23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09/10 - 03/11/2026</w:t>
            </w:r>
          </w:p>
        </w:tc>
        <w:tc>
          <w:tcPr>
            <w:tcW w:type="dxa" w:w="13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15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iniciada</w:t>
            </w:r>
          </w:p>
        </w:tc>
      </w:tr>
      <w:tr>
        <w:tc>
          <w:tcPr>
            <w:tcW w:type="dxa" w:w="2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Fase Técnica 4: Pruebas</w:t>
            </w:r>
          </w:p>
        </w:tc>
        <w:tc>
          <w:tcPr>
            <w:tcW w:type="dxa" w:w="2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David Mauricio Torres</w:t>
            </w:r>
          </w:p>
        </w:tc>
        <w:tc>
          <w:tcPr>
            <w:tcW w:type="dxa" w:w="2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26/10 - 12/11/2026</w:t>
            </w:r>
          </w:p>
        </w:tc>
        <w:tc>
          <w:tcPr>
            <w:tcW w:type="dxa" w:w="1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15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iniciada</w:t>
            </w:r>
          </w:p>
        </w:tc>
      </w:tr>
      <w:tr>
        <w:tc>
          <w:tcPr>
            <w:tcW w:type="dxa" w:w="26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Fase Técnica 5: Implantación</w:t>
            </w:r>
          </w:p>
        </w:tc>
        <w:tc>
          <w:tcPr>
            <w:tcW w:type="dxa" w:w="23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Esteban Pineda Ardila</w:t>
            </w:r>
          </w:p>
        </w:tc>
        <w:tc>
          <w:tcPr>
            <w:tcW w:type="dxa" w:w="23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10/11 - 19/11/2026</w:t>
            </w:r>
          </w:p>
        </w:tc>
        <w:tc>
          <w:tcPr>
            <w:tcW w:type="dxa" w:w="13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15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iniciada</w:t>
            </w:r>
          </w:p>
        </w:tc>
      </w:tr>
      <w:tr>
        <w:tc>
          <w:tcPr>
            <w:tcW w:type="dxa" w:w="2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Seguimiento (transversal)</w:t>
            </w:r>
          </w:p>
        </w:tc>
        <w:tc>
          <w:tcPr>
            <w:tcW w:type="dxa" w:w="2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Marlon Andres Campo</w:t>
            </w:r>
          </w:p>
        </w:tc>
        <w:tc>
          <w:tcPr>
            <w:tcW w:type="dxa" w:w="2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28/08 - 19/11/2026</w:t>
            </w:r>
          </w:p>
        </w:tc>
        <w:tc>
          <w:tcPr>
            <w:tcW w:type="dxa" w:w="1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1580"/>
            <w:gridSpan w:val="1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 curso</w:t>
            </w:r>
          </w:p>
        </w:tc>
      </w:tr>
      <w:tr>
        <w:tc>
          <w:tcPr>
            <w:tcW w:type="dxa" w:w="26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Relación con el Cliente (transversal)</w:t>
            </w:r>
          </w:p>
        </w:tc>
        <w:tc>
          <w:tcPr>
            <w:tcW w:type="dxa" w:w="23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David Mauricio Torres</w:t>
            </w:r>
          </w:p>
        </w:tc>
        <w:tc>
          <w:tcPr>
            <w:tcW w:type="dxa" w:w="23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28/08 - 19/11/2026</w:t>
            </w:r>
          </w:p>
        </w:tc>
        <w:tc>
          <w:tcPr>
            <w:tcW w:type="dxa" w:w="13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1580"/>
            <w:gridSpan w:val="1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 curso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2.2. Entregables completados en el periodo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200"/>
        <w:gridCol w:w="1900"/>
        <w:gridCol w:w="1900"/>
        <w:gridCol w:w="2080"/>
      </w:tblGrid>
      <w:tr>
        <w:trPr>
          <w:tblHeader/>
        </w:trPr>
        <w:tc>
          <w:tcPr>
            <w:tcW w:type="dxa" w:w="42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19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9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 de cierre</w:t>
            </w:r>
          </w:p>
        </w:tc>
        <w:tc>
          <w:tcPr>
            <w:tcW w:type="dxa" w:w="208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4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Acta de constitución del proyecto</w:t>
            </w:r>
          </w:p>
        </w:tc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Planeación</w:t>
            </w:r>
          </w:p>
        </w:tc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31/08/2026</w:t>
            </w:r>
          </w:p>
        </w:tc>
        <w:tc>
          <w:tcPr>
            <w:tcW w:type="dxa" w:w="20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Santiago Arias Mosquera</w:t>
            </w:r>
          </w:p>
        </w:tc>
      </w:tr>
      <w:tr>
        <w:tc>
          <w:tcPr>
            <w:tcW w:type="dxa" w:w="42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Esquema metodológico seleccionado y justificado</w:t>
            </w:r>
          </w:p>
        </w:tc>
        <w:tc>
          <w:tcPr>
            <w:tcW w:type="dxa" w:w="19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Planeación</w:t>
            </w:r>
          </w:p>
        </w:tc>
        <w:tc>
          <w:tcPr>
            <w:tcW w:type="dxa" w:w="19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04/09/2026</w:t>
            </w:r>
          </w:p>
        </w:tc>
        <w:tc>
          <w:tcPr>
            <w:tcW w:type="dxa" w:w="20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Santiago Arias Mosquera</w:t>
            </w:r>
          </w:p>
        </w:tc>
      </w:tr>
      <w:tr>
        <w:tc>
          <w:tcPr>
            <w:tcW w:type="dxa" w:w="4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Cronograma del proyecto con línea base</w:t>
            </w:r>
          </w:p>
        </w:tc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Planeación</w:t>
            </w:r>
          </w:p>
        </w:tc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08/09/2026</w:t>
            </w:r>
          </w:p>
        </w:tc>
        <w:tc>
          <w:tcPr>
            <w:tcW w:type="dxa" w:w="20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Santiago Arias Mosquera</w:t>
            </w:r>
          </w:p>
        </w:tc>
      </w:tr>
      <w:tr>
        <w:tc>
          <w:tcPr>
            <w:tcW w:type="dxa" w:w="42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Presupuesto y tabla de costos unitarios</w:t>
            </w:r>
          </w:p>
        </w:tc>
        <w:tc>
          <w:tcPr>
            <w:tcW w:type="dxa" w:w="19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Planeación</w:t>
            </w:r>
          </w:p>
        </w:tc>
        <w:tc>
          <w:tcPr>
            <w:tcW w:type="dxa" w:w="19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10/09/2026</w:t>
            </w:r>
          </w:p>
        </w:tc>
        <w:tc>
          <w:tcPr>
            <w:tcW w:type="dxa" w:w="20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Santiago Arias Mosquera</w:t>
            </w:r>
          </w:p>
        </w:tc>
      </w:tr>
      <w:tr>
        <w:tc>
          <w:tcPr>
            <w:tcW w:type="dxa" w:w="4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Identificación y matriz de stakeholders</w:t>
            </w:r>
          </w:p>
        </w:tc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Análisis</w:t>
            </w:r>
          </w:p>
        </w:tc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09/09/2026</w:t>
            </w:r>
          </w:p>
        </w:tc>
        <w:tc>
          <w:tcPr>
            <w:tcW w:type="dxa" w:w="20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Santiago Arias Mosquera</w:t>
            </w:r>
          </w:p>
        </w:tc>
      </w:tr>
      <w:tr>
        <w:tc>
          <w:tcPr>
            <w:tcW w:type="dxa" w:w="42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Bitácora de reuniones con las cuatro áreas del cliente</w:t>
            </w:r>
          </w:p>
        </w:tc>
        <w:tc>
          <w:tcPr>
            <w:tcW w:type="dxa" w:w="19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Análisis</w:t>
            </w:r>
          </w:p>
        </w:tc>
        <w:tc>
          <w:tcPr>
            <w:tcW w:type="dxa" w:w="19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15/09/2026</w:t>
            </w:r>
          </w:p>
        </w:tc>
        <w:tc>
          <w:tcPr>
            <w:tcW w:type="dxa" w:w="20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David Mauricio Torres</w:t>
            </w:r>
          </w:p>
        </w:tc>
      </w:tr>
      <w:tr>
        <w:tc>
          <w:tcPr>
            <w:tcW w:type="dxa" w:w="4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Levantamiento de requerimientos funcionales y no funcionales</w:t>
            </w:r>
          </w:p>
        </w:tc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Análisis</w:t>
            </w:r>
          </w:p>
        </w:tc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17/09/2026</w:t>
            </w:r>
          </w:p>
        </w:tc>
        <w:tc>
          <w:tcPr>
            <w:tcW w:type="dxa" w:w="20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Santiago Arias Mosquera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2.3. Entregables en curso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00"/>
        <w:gridCol w:w="1400"/>
        <w:gridCol w:w="1800"/>
        <w:gridCol w:w="3480"/>
      </w:tblGrid>
      <w:tr>
        <w:trPr>
          <w:tblHeader/>
        </w:trPr>
        <w:tc>
          <w:tcPr>
            <w:tcW w:type="dxa" w:w="34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14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avance</w:t>
            </w:r>
          </w:p>
        </w:tc>
        <w:tc>
          <w:tcPr>
            <w:tcW w:type="dxa" w:w="18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Cierre previsto</w:t>
            </w:r>
          </w:p>
        </w:tc>
        <w:tc>
          <w:tcPr>
            <w:tcW w:type="dxa" w:w="348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W w:type="dxa" w:w="3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Documento de historias de usuario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85%</w:t>
            </w:r>
          </w:p>
        </w:tc>
        <w:tc>
          <w:tcPr>
            <w:tcW w:type="dxa" w:w="18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21/09/2026</w:t>
            </w:r>
          </w:p>
        </w:tc>
        <w:tc>
          <w:tcPr>
            <w:tcW w:type="dxa" w:w="34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Pendiente el refinamiento de las historias de los sprints 4 a 6.</w:t>
            </w:r>
          </w:p>
        </w:tc>
      </w:tr>
      <w:tr>
        <w:tc>
          <w:tcPr>
            <w:tcW w:type="dxa" w:w="3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Backlog priorizado</w:t>
            </w:r>
          </w:p>
        </w:tc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18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23/09/2026</w:t>
            </w:r>
          </w:p>
        </w:tc>
        <w:tc>
          <w:tcPr>
            <w:tcW w:type="dxa" w:w="34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Pendiente re-priorizar la deuda de los sprints 1 y 2.</w:t>
            </w:r>
          </w:p>
        </w:tc>
      </w:tr>
      <w:tr>
        <w:tc>
          <w:tcPr>
            <w:tcW w:type="dxa" w:w="3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Matriz de riesgos inicial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tcW w:type="dxa" w:w="18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23/09/2026</w:t>
            </w:r>
          </w:p>
        </w:tc>
        <w:tc>
          <w:tcPr>
            <w:tcW w:type="dxa" w:w="34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Quince riesgos identificados; pendiente cerrar planes de contingencia de los de nivel medio.</w:t>
            </w:r>
          </w:p>
        </w:tc>
      </w:tr>
      <w:tr>
        <w:tc>
          <w:tcPr>
            <w:tcW w:type="dxa" w:w="3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Acta de validación de alcance con el cliente</w:t>
            </w:r>
          </w:p>
        </w:tc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18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24/09/2026</w:t>
            </w:r>
          </w:p>
        </w:tc>
        <w:tc>
          <w:tcPr>
            <w:tcW w:type="dxa" w:w="34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Reunión agendada con la Dirección General para el 22 de septiembre.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Indicador 1: Cumplimiento de Sprint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Fórmula aplicada: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 = (HC / HCO) x 100, donde HC son las historias completadas y HCO las historias comprometidas. Meta mínima: 80%.</w:t>
      </w:r>
    </w:p>
    <w:p>
      <w:pPr>
        <w:spacing w:after="120"/>
      </w:pP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2200"/>
        <w:gridCol w:w="1900"/>
        <w:gridCol w:w="1800"/>
        <w:gridCol w:w="1600"/>
        <w:gridCol w:w="1080"/>
      </w:tblGrid>
      <w:tr>
        <w:trPr>
          <w:tblHeader/>
        </w:trPr>
        <w:tc>
          <w:tcPr>
            <w:tcW w:type="dxa" w:w="15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2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19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Comprometidas (HCO)</w:t>
            </w:r>
          </w:p>
        </w:tc>
        <w:tc>
          <w:tcPr>
            <w:tcW w:type="dxa" w:w="18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Completadas (HC)</w:t>
            </w:r>
          </w:p>
        </w:tc>
        <w:tc>
          <w:tcPr>
            <w:tcW w:type="dxa" w:w="16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Cumplimiento (C)</w:t>
            </w:r>
          </w:p>
        </w:tc>
        <w:tc>
          <w:tcPr>
            <w:tcW w:type="dxa" w:w="108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2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28 ago - 10 sep</w:t>
            </w:r>
          </w:p>
        </w:tc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81,8%</w:t>
            </w:r>
          </w:p>
        </w:tc>
        <w:tc>
          <w:tcPr>
            <w:tcW w:type="dxa" w:w="1080"/>
            <w:gridSpan w:val="1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CUMPLE</w:t>
            </w:r>
          </w:p>
        </w:tc>
      </w:tr>
      <w:tr>
        <w:tc>
          <w:tcPr>
            <w:tcW w:type="dxa" w:w="15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22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 sep - 24 sep</w:t>
            </w:r>
          </w:p>
        </w:tc>
        <w:tc>
          <w:tcPr>
            <w:tcW w:type="dxa" w:w="19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83,3%</w:t>
            </w:r>
          </w:p>
        </w:tc>
        <w:tc>
          <w:tcPr>
            <w:tcW w:type="dxa" w:w="1080"/>
            <w:gridSpan w:val="1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CUMPLE</w:t>
            </w:r>
          </w:p>
        </w:tc>
      </w:tr>
      <w:tr>
        <w:tc>
          <w:tcPr>
            <w:tcW w:type="dxa" w:w="1500"/>
            <w:gridSpan w:val="1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ACUMULADO</w:t>
            </w:r>
          </w:p>
        </w:tc>
        <w:tc>
          <w:tcPr>
            <w:tcW w:type="dxa" w:w="2200"/>
            <w:gridSpan w:val="1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Q1 + Q2</w:t>
            </w:r>
          </w:p>
        </w:tc>
        <w:tc>
          <w:tcPr>
            <w:tcW w:type="dxa" w:w="1900"/>
            <w:gridSpan w:val="1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1800"/>
            <w:gridSpan w:val="1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600"/>
            <w:gridSpan w:val="1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82,6%</w:t>
            </w:r>
          </w:p>
        </w:tc>
        <w:tc>
          <w:tcPr>
            <w:tcW w:type="dxa" w:w="1080"/>
            <w:gridSpan w:val="1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CUMPLE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3.1. Historias no completadas y análisis de causa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3600"/>
        <w:gridCol w:w="1300"/>
        <w:gridCol w:w="4280"/>
      </w:tblGrid>
      <w:tr>
        <w:trPr>
          <w:tblHeader/>
        </w:trPr>
        <w:tc>
          <w:tcPr>
            <w:tcW w:type="dxa" w:w="9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Historia</w:t>
            </w:r>
          </w:p>
        </w:tc>
        <w:tc>
          <w:tcPr>
            <w:tcW w:type="dxa" w:w="13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28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Causa de no completitud</w:t>
            </w:r>
          </w:p>
        </w:tc>
      </w:tr>
      <w:tr>
        <w:tc>
          <w:tcPr>
            <w:tcW w:type="dxa" w:w="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HU-10</w:t>
            </w:r>
          </w:p>
        </w:tc>
        <w:tc>
          <w:tcPr>
            <w:tcW w:type="dxa" w:w="3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Documentar que el prototipo no altera el modelo actuarial ni las tarifas reales.</w:t>
            </w:r>
          </w:p>
        </w:tc>
        <w:tc>
          <w:tcPr>
            <w:tcW w:type="dxa" w:w="1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42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Demora en la contratación del consultor actuarial externo: la disponibilidad real fue de nueve días hábiles frente a los cuatro estimados.</w:t>
            </w:r>
          </w:p>
        </w:tc>
      </w:tr>
      <w:tr>
        <w:tc>
          <w:tcPr>
            <w:tcW w:type="dxa" w:w="9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HU-11</w:t>
            </w:r>
          </w:p>
        </w:tc>
        <w:tc>
          <w:tcPr>
            <w:tcW w:type="dxa" w:w="36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 el historial de cobertura de la póliza.</w:t>
            </w:r>
          </w:p>
        </w:tc>
        <w:tc>
          <w:tcPr>
            <w:tcW w:type="dxa" w:w="13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42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Despriorizada de forma deliberada por el equipo para no comprometer las historias 'Must have' del sprint. Decisión registrada en la bitácora.</w:t>
            </w:r>
          </w:p>
        </w:tc>
      </w:tr>
      <w:tr>
        <w:tc>
          <w:tcPr>
            <w:tcW w:type="dxa" w:w="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HU-22</w:t>
            </w:r>
          </w:p>
        </w:tc>
        <w:tc>
          <w:tcPr>
            <w:tcW w:type="dxa" w:w="3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Restricción actuarial del simulador de planes.</w:t>
            </w:r>
          </w:p>
        </w:tc>
        <w:tc>
          <w:tcPr>
            <w:tcW w:type="dxa" w:w="1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42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Bloqueada por la dependencia con HU-10, que no cerró en el sprint anterior.</w:t>
            </w:r>
          </w:p>
        </w:tc>
      </w:tr>
      <w:tr>
        <w:tc>
          <w:tcPr>
            <w:tcW w:type="dxa" w:w="9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HU-23</w:t>
            </w:r>
          </w:p>
        </w:tc>
        <w:tc>
          <w:tcPr>
            <w:tcW w:type="dxa" w:w="36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Consultar el estado de un siniestro reportado.</w:t>
            </w:r>
          </w:p>
        </w:tc>
        <w:tc>
          <w:tcPr>
            <w:tcW w:type="dxa" w:w="13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42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Subestimación del esfuerzo: el flujo de siniestros exige una validación legal adicional que no se dimensionó al planificar el sprint.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Patrón identificado: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tres de las cuatro historias no completadas dependían de la respuesta de un tercero externo al equipo (consultor actuarial o área Legal). El equipo no falló en su capacidad de ejecución sino en su método de estimación, que contaba el esfuerzo propio pero no el tiempo de espera de terceros.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Indicador 2: Desviación Presupuestal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Fórmula aplicada: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 = ((CR - CP) / CP) x 100, donde CR es el costo real acumulado y CP el costo planificado acumulado. Meta: máximo ±10%.</w:t>
      </w:r>
    </w:p>
    <w:p>
      <w:pPr>
        <w:spacing w:after="120"/>
      </w:pP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00"/>
        <w:gridCol w:w="1700"/>
        <w:gridCol w:w="1700"/>
        <w:gridCol w:w="1700"/>
        <w:gridCol w:w="1700"/>
        <w:gridCol w:w="1300"/>
        <w:gridCol w:w="780"/>
      </w:tblGrid>
      <w:tr>
        <w:trPr>
          <w:tblHeader/>
        </w:trPr>
        <w:tc>
          <w:tcPr>
            <w:tcW w:type="dxa" w:w="12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Quincena</w:t>
            </w:r>
          </w:p>
        </w:tc>
        <w:tc>
          <w:tcPr>
            <w:tcW w:type="dxa" w:w="17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CP quincena</w:t>
            </w:r>
          </w:p>
        </w:tc>
        <w:tc>
          <w:tcPr>
            <w:tcW w:type="dxa" w:w="17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 quincena</w:t>
            </w:r>
          </w:p>
        </w:tc>
        <w:tc>
          <w:tcPr>
            <w:tcW w:type="dxa" w:w="17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CP acumulado</w:t>
            </w:r>
          </w:p>
        </w:tc>
        <w:tc>
          <w:tcPr>
            <w:tcW w:type="dxa" w:w="17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 acumulado</w:t>
            </w:r>
          </w:p>
        </w:tc>
        <w:tc>
          <w:tcPr>
            <w:tcW w:type="dxa" w:w="13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Desviación (D)</w:t>
            </w:r>
          </w:p>
        </w:tc>
        <w:tc>
          <w:tcPr>
            <w:tcW w:type="dxa" w:w="78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Q1</w:t>
            </w:r>
          </w:p>
        </w:tc>
        <w:tc>
          <w:tcPr>
            <w:tcW w:type="dxa" w:w="17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$24.800.000</w:t>
            </w:r>
          </w:p>
        </w:tc>
        <w:tc>
          <w:tcPr>
            <w:tcW w:type="dxa" w:w="17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$25.400.000</w:t>
            </w:r>
          </w:p>
        </w:tc>
        <w:tc>
          <w:tcPr>
            <w:tcW w:type="dxa" w:w="17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$24.800.000</w:t>
            </w:r>
          </w:p>
        </w:tc>
        <w:tc>
          <w:tcPr>
            <w:tcW w:type="dxa" w:w="17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$25.400.000</w:t>
            </w:r>
          </w:p>
        </w:tc>
        <w:tc>
          <w:tcPr>
            <w:tcW w:type="dxa" w:w="1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+2,4%</w:t>
            </w:r>
          </w:p>
        </w:tc>
        <w:tc>
          <w:tcPr>
            <w:tcW w:type="dxa" w:w="780"/>
            <w:gridSpan w:val="1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DENTRO</w:t>
            </w:r>
          </w:p>
        </w:tc>
      </w:tr>
      <w:tr>
        <w:tc>
          <w:tcPr>
            <w:tcW w:type="dxa" w:w="12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Q2</w:t>
            </w:r>
          </w:p>
        </w:tc>
        <w:tc>
          <w:tcPr>
            <w:tcW w:type="dxa" w:w="17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$33.600.000</w:t>
            </w:r>
          </w:p>
        </w:tc>
        <w:tc>
          <w:tcPr>
            <w:tcW w:type="dxa" w:w="17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$36.500.000</w:t>
            </w:r>
          </w:p>
        </w:tc>
        <w:tc>
          <w:tcPr>
            <w:tcW w:type="dxa" w:w="17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$58.400.000</w:t>
            </w:r>
          </w:p>
        </w:tc>
        <w:tc>
          <w:tcPr>
            <w:tcW w:type="dxa" w:w="17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$61.900.000</w:t>
            </w:r>
          </w:p>
        </w:tc>
        <w:tc>
          <w:tcPr>
            <w:tcW w:type="dxa" w:w="13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+6,0%</w:t>
            </w:r>
          </w:p>
        </w:tc>
        <w:tc>
          <w:tcPr>
            <w:tcW w:type="dxa" w:w="780"/>
            <w:gridSpan w:val="1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DENTRO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4.1. Estado del presupuesto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80"/>
        <w:gridCol w:w="4000"/>
      </w:tblGrid>
      <w:tr>
        <w:trPr>
          <w:tblHeader/>
        </w:trPr>
        <w:tc>
          <w:tcPr>
            <w:tcW w:type="dxa" w:w="608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40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60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Presupuesto total asignado</w:t>
            </w:r>
          </w:p>
        </w:tc>
        <w:tc>
          <w:tcPr>
            <w:tcW w:type="dxa" w:w="40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$265.000.000</w:t>
            </w:r>
          </w:p>
        </w:tc>
      </w:tr>
      <w:tr>
        <w:tc>
          <w:tcPr>
            <w:tcW w:type="dxa" w:w="60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Costo planificado acumulado al corte (CP)</w:t>
            </w:r>
          </w:p>
        </w:tc>
        <w:tc>
          <w:tcPr>
            <w:tcW w:type="dxa" w:w="40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$58.400.000</w:t>
            </w:r>
          </w:p>
        </w:tc>
      </w:tr>
      <w:tr>
        <w:tc>
          <w:tcPr>
            <w:tcW w:type="dxa" w:w="60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Costo real acumulado al corte (CR)</w:t>
            </w:r>
          </w:p>
        </w:tc>
        <w:tc>
          <w:tcPr>
            <w:tcW w:type="dxa" w:w="40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$61.900.000</w:t>
            </w:r>
          </w:p>
        </w:tc>
      </w:tr>
      <w:tr>
        <w:tc>
          <w:tcPr>
            <w:tcW w:type="dxa" w:w="60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Sobrecosto acumulado</w:t>
            </w:r>
          </w:p>
        </w:tc>
        <w:tc>
          <w:tcPr>
            <w:tcW w:type="dxa" w:w="40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$3.500.000</w:t>
            </w:r>
          </w:p>
        </w:tc>
      </w:tr>
      <w:tr>
        <w:tc>
          <w:tcPr>
            <w:tcW w:type="dxa" w:w="60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Presupuesto disponible para las quincenas restantes</w:t>
            </w:r>
          </w:p>
        </w:tc>
        <w:tc>
          <w:tcPr>
            <w:tcW w:type="dxa" w:w="40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$203.100.000</w:t>
            </w:r>
          </w:p>
        </w:tc>
      </w:tr>
      <w:tr>
        <w:tc>
          <w:tcPr>
            <w:tcW w:type="dxa" w:w="60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Reserva de contingencia aún sin ejecutar</w:t>
            </w:r>
          </w:p>
        </w:tc>
        <w:tc>
          <w:tcPr>
            <w:tcW w:type="dxa" w:w="40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$22.690.000 de los $26.190.000 asignados</w:t>
            </w:r>
          </w:p>
        </w:tc>
      </w:tr>
      <w:tr>
        <w:tc>
          <w:tcPr>
            <w:tcW w:type="dxa" w:w="6080"/>
            <w:gridSpan w:val="1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Desviación presupuestal acumulada</w:t>
            </w:r>
          </w:p>
        </w:tc>
        <w:tc>
          <w:tcPr>
            <w:tcW w:type="dxa" w:w="4000"/>
            <w:gridSpan w:val="1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+6,0% (límite permitido: ±10%)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4.2. Origen del sobrecosto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700"/>
        <w:gridCol w:w="5780"/>
      </w:tblGrid>
      <w:tr>
        <w:trPr>
          <w:tblHeader/>
        </w:trPr>
        <w:tc>
          <w:tcPr>
            <w:tcW w:type="dxa" w:w="26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  <w:tc>
          <w:tcPr>
            <w:tcW w:type="dxa" w:w="17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Monto</w:t>
            </w:r>
          </w:p>
        </w:tc>
        <w:tc>
          <w:tcPr>
            <w:tcW w:type="dxa" w:w="578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Explicación</w:t>
            </w:r>
          </w:p>
        </w:tc>
      </w:tr>
      <w:tr>
        <w:tc>
          <w:tcPr>
            <w:tcW w:type="dxa" w:w="2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Asesoría legal adicional</w:t>
            </w:r>
          </w:p>
        </w:tc>
        <w:tc>
          <w:tcPr>
            <w:tcW w:type="dxa" w:w="17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$2.900.000</w:t>
            </w:r>
          </w:p>
        </w:tc>
        <w:tc>
          <w:tcPr>
            <w:tcW w:type="dxa" w:w="57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área Legal exigió una segunda ronda completa de revisión de los textos de exclusiones, no prevista en la planificación inicial. Corresponde al incidente INC-01.</w:t>
            </w:r>
          </w:p>
        </w:tc>
      </w:tr>
      <w:tr>
        <w:tc>
          <w:tcPr>
            <w:tcW w:type="dxa" w:w="26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Demora en contratación actuarial</w:t>
            </w:r>
          </w:p>
        </w:tc>
        <w:tc>
          <w:tcPr>
            <w:tcW w:type="dxa" w:w="17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$600.000</w:t>
            </w:r>
          </w:p>
        </w:tc>
        <w:tc>
          <w:tcPr>
            <w:tcW w:type="dxa" w:w="57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 reprogramación de las sesiones de validación generó horas de coordinación no planificadas.</w:t>
            </w:r>
          </w:p>
        </w:tc>
      </w:tr>
      <w:tr>
        <w:tc>
          <w:tcPr>
            <w:tcW w:type="dxa" w:w="2600"/>
            <w:gridSpan w:val="1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TOTAL DEL SOBRECOSTO</w:t>
            </w:r>
          </w:p>
        </w:tc>
        <w:tc>
          <w:tcPr>
            <w:tcW w:type="dxa" w:w="1700"/>
            <w:gridSpan w:val="1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$3.500.000</w:t>
            </w:r>
          </w:p>
        </w:tc>
        <w:tc>
          <w:tcPr>
            <w:tcW w:type="dxa" w:w="5780"/>
            <w:gridSpan w:val="1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Equivalente al 1,3% del presupuesto total del proyecto.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sobrecosto se absorbió con cargo a la reserva de contingencia actuarial y regulatoria, sin solicitar ampliación de presupuesto y sin afectar ninguna otra categoría. Queda disponible el 86,6% de dicha reserva para el resto del proyecto.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Riesgos identificados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matriz de riesgos completa se entrega como documento anexo. Al corte se tienen quince riesgos identificados: dos de nivel extremo, diez de nivel alto y tres de nivel medio. Dos de ellos se materializaron durante el periodo reportado.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5.1. Riesgos de mayor exposición vigentes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00"/>
        <w:gridCol w:w="3400"/>
        <w:gridCol w:w="1500"/>
        <w:gridCol w:w="1600"/>
        <w:gridCol w:w="2780"/>
      </w:tblGrid>
      <w:tr>
        <w:trPr>
          <w:tblHeader/>
        </w:trPr>
        <w:tc>
          <w:tcPr>
            <w:tcW w:type="dxa" w:w="8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5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Exposición</w:t>
            </w:r>
          </w:p>
        </w:tc>
        <w:tc>
          <w:tcPr>
            <w:tcW w:type="dxa" w:w="16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78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 preventiva en curso</w:t>
            </w:r>
          </w:p>
        </w:tc>
      </w:tr>
      <w:tr>
        <w:tc>
          <w:tcPr>
            <w:tcW w:type="dxa" w:w="8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R-01</w:t>
            </w:r>
          </w:p>
        </w:tc>
        <w:tc>
          <w:tcPr>
            <w:tcW w:type="dxa" w:w="3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Nueva circular de la SFC durante la ejecución.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20 - Extremo</w:t>
            </w:r>
          </w:p>
        </w:tc>
        <w:tc>
          <w:tcPr>
            <w:tcW w:type="dxa" w:w="1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7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Monitoreo quincenal de circulares y diseño modular del microcopy contractual.</w:t>
            </w:r>
          </w:p>
        </w:tc>
      </w:tr>
      <w:tr>
        <w:tc>
          <w:tcPr>
            <w:tcW w:type="dxa" w:w="8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R-02</w:t>
            </w:r>
          </w:p>
        </w:tc>
        <w:tc>
          <w:tcPr>
            <w:tcW w:type="dxa" w:w="3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Revisiones sucesivas exigidas por el área Legal.</w:t>
            </w:r>
          </w:p>
        </w:tc>
        <w:tc>
          <w:tcPr>
            <w:tcW w:type="dxa" w:w="15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20 - Extremo</w:t>
            </w:r>
          </w:p>
        </w:tc>
        <w:tc>
          <w:tcPr>
            <w:tcW w:type="dxa" w:w="1600"/>
            <w:gridSpan w:val="1"/>
            <w:shd w:fill="FFC7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Materializado</w:t>
            </w:r>
          </w:p>
        </w:tc>
        <w:tc>
          <w:tcPr>
            <w:tcW w:type="dxa" w:w="27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Punto de control único con lista de verificación acordada previamente.</w:t>
            </w:r>
          </w:p>
        </w:tc>
      </w:tr>
      <w:tr>
        <w:tc>
          <w:tcPr>
            <w:tcW w:type="dxa" w:w="8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R-04</w:t>
            </w:r>
          </w:p>
        </w:tc>
        <w:tc>
          <w:tcPr>
            <w:tcW w:type="dxa" w:w="3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Solicitud de funcionalidades adicionales por Marketing.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16 - Alto</w:t>
            </w:r>
          </w:p>
        </w:tc>
        <w:tc>
          <w:tcPr>
            <w:tcW w:type="dxa" w:w="1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7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Alcance del MVP congelado; toda solicitud pasa por control de cambios.</w:t>
            </w:r>
          </w:p>
        </w:tc>
      </w:tr>
      <w:tr>
        <w:tc>
          <w:tcPr>
            <w:tcW w:type="dxa" w:w="8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R-07</w:t>
            </w:r>
          </w:p>
        </w:tc>
        <w:tc>
          <w:tcPr>
            <w:tcW w:type="dxa" w:w="3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Retraso en Análisis que desplaza el inicio de Diseño.</w:t>
            </w:r>
          </w:p>
        </w:tc>
        <w:tc>
          <w:tcPr>
            <w:tcW w:type="dxa" w:w="15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16 - Alto</w:t>
            </w:r>
          </w:p>
        </w:tc>
        <w:tc>
          <w:tcPr>
            <w:tcW w:type="dxa" w:w="1600"/>
            <w:gridSpan w:val="1"/>
            <w:shd w:fill="FFC7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Materializado</w:t>
            </w:r>
          </w:p>
        </w:tc>
        <w:tc>
          <w:tcPr>
            <w:tcW w:type="dxa" w:w="27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Solapamiento planificado entre fases y revisión de avance ponderado.</w:t>
            </w:r>
          </w:p>
        </w:tc>
      </w:tr>
      <w:tr>
        <w:tc>
          <w:tcPr>
            <w:tcW w:type="dxa" w:w="8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R-03</w:t>
            </w:r>
          </w:p>
        </w:tc>
        <w:tc>
          <w:tcPr>
            <w:tcW w:type="dxa" w:w="3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simulador expone o altera tarifas reales.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15 - Alto</w:t>
            </w:r>
          </w:p>
        </w:tc>
        <w:tc>
          <w:tcPr>
            <w:tcW w:type="dxa" w:w="1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7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Simulador restringido a rangos referenciales; validación actuarial obligatoria.</w:t>
            </w:r>
          </w:p>
        </w:tc>
      </w:tr>
      <w:tr>
        <w:tc>
          <w:tcPr>
            <w:tcW w:type="dxa" w:w="8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R-05</w:t>
            </w:r>
          </w:p>
        </w:tc>
        <w:tc>
          <w:tcPr>
            <w:tcW w:type="dxa" w:w="3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Desviación presupuestal por encima del 10%.</w:t>
            </w:r>
          </w:p>
        </w:tc>
        <w:tc>
          <w:tcPr>
            <w:tcW w:type="dxa" w:w="15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15 - Alto</w:t>
            </w:r>
          </w:p>
        </w:tc>
        <w:tc>
          <w:tcPr>
            <w:tcW w:type="dxa" w:w="1600"/>
            <w:gridSpan w:val="1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 alerta</w:t>
            </w:r>
          </w:p>
        </w:tc>
        <w:tc>
          <w:tcPr>
            <w:tcW w:type="dxa" w:w="27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Umbral interno de alerta en 7%; al corte se está en 6,0%.</w:t>
            </w:r>
          </w:p>
        </w:tc>
      </w:tr>
      <w:tr>
        <w:tc>
          <w:tcPr>
            <w:tcW w:type="dxa" w:w="8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R-06</w:t>
            </w:r>
          </w:p>
        </w:tc>
        <w:tc>
          <w:tcPr>
            <w:tcW w:type="dxa" w:w="3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asegurado sigue sin comprender sus coberturas.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15 - Alto</w:t>
            </w:r>
          </w:p>
        </w:tc>
        <w:tc>
          <w:tcPr>
            <w:tcW w:type="dxa" w:w="1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7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Doble capa de información y validación temprana con tres asegurados.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5.2. Riesgo que requiere atención prioritaria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R-05 - Desviación presupuestal: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aunque el indicador cumple, la desviación pasó de +2,4% a +6,0% en una quincena. El umbral interno de alerta temprana está fijado en 7%, de modo que el riesgo se encuentra a 1 punto porcentual de activarse. Es el riesgo con mayor probabilidad de escalar antes del Seguimiento 2 y concentra dos de las tres acciones correctivas de este reporte.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Problemas presentados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3400"/>
        <w:gridCol w:w="1200"/>
        <w:gridCol w:w="3200"/>
        <w:gridCol w:w="1380"/>
      </w:tblGrid>
      <w:tr>
        <w:trPr>
          <w:tblHeader/>
        </w:trPr>
        <w:tc>
          <w:tcPr>
            <w:tcW w:type="dxa" w:w="9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12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32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 medido</w:t>
            </w:r>
          </w:p>
        </w:tc>
        <w:tc>
          <w:tcPr>
            <w:tcW w:type="dxa" w:w="138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INC-01</w:t>
            </w:r>
          </w:p>
        </w:tc>
        <w:tc>
          <w:tcPr>
            <w:tcW w:type="dxa" w:w="3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área Legal solicitó una segunda ronda completa de revisión de los textos de exclusiones, no prevista en la planificación.</w:t>
            </w:r>
          </w:p>
        </w:tc>
        <w:tc>
          <w:tcPr>
            <w:tcW w:type="dxa" w:w="1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14/09/2026</w:t>
            </w:r>
          </w:p>
        </w:tc>
        <w:tc>
          <w:tcPr>
            <w:tcW w:type="dxa" w:w="3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Sobrecosto de $2.900.000 y retraso de 3 días hábiles en el cierre de HU-13 y HU-17.</w:t>
            </w:r>
          </w:p>
        </w:tc>
        <w:tc>
          <w:tcPr>
            <w:tcW w:type="dxa" w:w="1380"/>
            <w:gridSpan w:val="1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 tratamiento</w:t>
            </w:r>
          </w:p>
        </w:tc>
      </w:tr>
      <w:tr>
        <w:tc>
          <w:tcPr>
            <w:tcW w:type="dxa" w:w="9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INC-02</w:t>
            </w:r>
          </w:p>
        </w:tc>
        <w:tc>
          <w:tcPr>
            <w:tcW w:type="dxa" w:w="3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Cuatro historias no se completaron dentro de sus sprints por subestimación del esfuerzo de elicitación con terceros.</w:t>
            </w:r>
          </w:p>
        </w:tc>
        <w:tc>
          <w:tcPr>
            <w:tcW w:type="dxa" w:w="12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16/09/2026</w:t>
            </w:r>
          </w:p>
        </w:tc>
        <w:tc>
          <w:tcPr>
            <w:tcW w:type="dxa" w:w="32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Deuda acumulada de 4 historias trasladadas al Sprint 3. Indicador 1 en 82,6%, aún dentro de meta.</w:t>
            </w:r>
          </w:p>
        </w:tc>
        <w:tc>
          <w:tcPr>
            <w:tcW w:type="dxa" w:w="1380"/>
            <w:gridSpan w:val="1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 tratamiento</w:t>
            </w:r>
          </w:p>
        </w:tc>
      </w:tr>
      <w:tr>
        <w:tc>
          <w:tcPr>
            <w:tcW w:type="dxa" w:w="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PRB-01</w:t>
            </w:r>
          </w:p>
        </w:tc>
        <w:tc>
          <w:tcPr>
            <w:tcW w:type="dxa" w:w="3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Desalineación de expectativas entre Marketing y el enfoque de cumplimiento normativo adoptado por el equipo.</w:t>
            </w:r>
          </w:p>
        </w:tc>
        <w:tc>
          <w:tcPr>
            <w:tcW w:type="dxa" w:w="1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11/09/2026</w:t>
            </w:r>
          </w:p>
        </w:tc>
        <w:tc>
          <w:tcPr>
            <w:tcW w:type="dxa" w:w="3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Sin impacto medible en costo ni cronograma. Riesgo de escalar a solicitud formal de cambio de alcance.</w:t>
            </w:r>
          </w:p>
        </w:tc>
        <w:tc>
          <w:tcPr>
            <w:tcW w:type="dxa" w:w="1380"/>
            <w:gridSpan w:val="1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Abierto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Acciones correctivas adoptadas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3400"/>
        <w:gridCol w:w="1500"/>
        <w:gridCol w:w="1600"/>
        <w:gridCol w:w="1200"/>
        <w:gridCol w:w="1780"/>
      </w:tblGrid>
      <w:tr>
        <w:trPr>
          <w:tblHeader/>
        </w:trPr>
        <w:tc>
          <w:tcPr>
            <w:tcW w:type="dxa" w:w="6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N.</w:t>
            </w:r>
          </w:p>
        </w:tc>
        <w:tc>
          <w:tcPr>
            <w:tcW w:type="dxa" w:w="34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 correctiva</w:t>
            </w:r>
          </w:p>
        </w:tc>
        <w:tc>
          <w:tcPr>
            <w:tcW w:type="dxa" w:w="15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Problema que atiende</w:t>
            </w:r>
          </w:p>
        </w:tc>
        <w:tc>
          <w:tcPr>
            <w:tcW w:type="dxa" w:w="16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2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 límite</w:t>
            </w:r>
          </w:p>
        </w:tc>
        <w:tc>
          <w:tcPr>
            <w:tcW w:type="dxa" w:w="178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Establecer un punto de control único de validación legal al cierre de Diseño, con lista de verificación acordada previamente con el área Legal, en lugar de revisiones sucesivas no estructuradas.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INC-01 y riesgo R-02</w:t>
            </w:r>
          </w:p>
        </w:tc>
        <w:tc>
          <w:tcPr>
            <w:tcW w:type="dxa" w:w="1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David Mauricio Torres</w:t>
            </w:r>
          </w:p>
        </w:tc>
        <w:tc>
          <w:tcPr>
            <w:tcW w:type="dxa" w:w="1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22/09/2026</w:t>
            </w:r>
          </w:p>
        </w:tc>
        <w:tc>
          <w:tcPr>
            <w:tcW w:type="dxa" w:w="17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Eliminar las rondas de revisión no previstas y contener el gasto de asesoría legal dentro de lo planificado.</w:t>
            </w:r>
          </w:p>
        </w:tc>
      </w:tr>
      <w:tr>
        <w:tc>
          <w:tcPr>
            <w:tcW w:type="dxa" w:w="6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Modificar el método de estimación: toda historia que dependa de la aprobación de un tercero externo incorpora el tiempo de espera de ese tercero en su estimación, no solo el esfuerzo propio del equipo.</w:t>
            </w:r>
          </w:p>
        </w:tc>
        <w:tc>
          <w:tcPr>
            <w:tcW w:type="dxa" w:w="15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INC-02 y riesgo R-07</w:t>
            </w:r>
          </w:p>
        </w:tc>
        <w:tc>
          <w:tcPr>
            <w:tcW w:type="dxa" w:w="16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Santiago Arias Mosquera</w:t>
            </w:r>
          </w:p>
        </w:tc>
        <w:tc>
          <w:tcPr>
            <w:tcW w:type="dxa" w:w="12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25/09/2026</w:t>
            </w:r>
          </w:p>
        </w:tc>
        <w:tc>
          <w:tcPr>
            <w:tcW w:type="dxa" w:w="17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Compromisos de sprint realistas y sostenimiento del indicador 1 por encima del 80%.</w:t>
            </w:r>
          </w:p>
        </w:tc>
      </w:tr>
      <w:tr>
        <w:tc>
          <w:tcPr>
            <w:tcW w:type="dxa" w:w="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Trasladar las cuatro historias no completadas al Sprint 3 y reducir en la misma proporción el compromiso de historias nuevas de ese sprint, desplazando HU-30 y HU-37 a sprints posteriores.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INC-02</w:t>
            </w:r>
          </w:p>
        </w:tc>
        <w:tc>
          <w:tcPr>
            <w:tcW w:type="dxa" w:w="1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Santiago Arias Mosquera</w:t>
            </w:r>
          </w:p>
        </w:tc>
        <w:tc>
          <w:tcPr>
            <w:tcW w:type="dxa" w:w="1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25/09/2026</w:t>
            </w:r>
          </w:p>
        </w:tc>
        <w:tc>
          <w:tcPr>
            <w:tcW w:type="dxa" w:w="17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Absorber la deuda sin sobrecargar el Sprint 3 ni volver a incumplir la meta del indicador 1.</w:t>
            </w:r>
          </w:p>
        </w:tc>
      </w:tr>
      <w:tr>
        <w:tc>
          <w:tcPr>
            <w:tcW w:type="dxa" w:w="6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Congelar toda contratación externa no crítica hasta el Seguimiento 2 y someter cualquier hora adicional de asesoría a aprobación previa del líder de Seguimiento y Control.</w:t>
            </w:r>
          </w:p>
        </w:tc>
        <w:tc>
          <w:tcPr>
            <w:tcW w:type="dxa" w:w="15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Riesgo R-05</w:t>
            </w:r>
          </w:p>
        </w:tc>
        <w:tc>
          <w:tcPr>
            <w:tcW w:type="dxa" w:w="16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Marlon Andres Campo</w:t>
            </w:r>
          </w:p>
        </w:tc>
        <w:tc>
          <w:tcPr>
            <w:tcW w:type="dxa" w:w="12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Inmediata</w:t>
            </w:r>
          </w:p>
        </w:tc>
        <w:tc>
          <w:tcPr>
            <w:tcW w:type="dxa" w:w="17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Detener la tendencia al alza de la desviación presupuestal antes de alcanzar el umbral interno del 7%.</w:t>
            </w:r>
          </w:p>
        </w:tc>
      </w:tr>
      <w:tr>
        <w:tc>
          <w:tcPr>
            <w:tcW w:type="dxa" w:w="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Convocar reunión de realineación con Marketing para documentar por escrito el alcance del MVP acordado y el alcance diferido.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PRB-01 y riesgo R-04</w:t>
            </w:r>
          </w:p>
        </w:tc>
        <w:tc>
          <w:tcPr>
            <w:tcW w:type="dxa" w:w="1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David Mauricio Torres</w:t>
            </w:r>
          </w:p>
        </w:tc>
        <w:tc>
          <w:tcPr>
            <w:tcW w:type="dxa" w:w="1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24/09/2026</w:t>
            </w:r>
          </w:p>
        </w:tc>
        <w:tc>
          <w:tcPr>
            <w:tcW w:type="dxa" w:w="17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Evitar que la desalineación derive en una solicitud formal de cambio de alcance en el siguiente corte.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Gestión realizada con el cliente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8.1. Reuniones sostenidas en el periodo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00"/>
        <w:gridCol w:w="1900"/>
        <w:gridCol w:w="3200"/>
        <w:gridCol w:w="3580"/>
      </w:tblGrid>
      <w:tr>
        <w:trPr>
          <w:tblHeader/>
        </w:trPr>
        <w:tc>
          <w:tcPr>
            <w:tcW w:type="dxa" w:w="14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19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Área o stakeholder</w:t>
            </w:r>
          </w:p>
        </w:tc>
        <w:tc>
          <w:tcPr>
            <w:tcW w:type="dxa" w:w="32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Asunto</w:t>
            </w:r>
          </w:p>
        </w:tc>
        <w:tc>
          <w:tcPr>
            <w:tcW w:type="dxa" w:w="358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 o acuerdo</w:t>
            </w:r>
          </w:p>
        </w:tc>
      </w:tr>
      <w:tr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02/09/2026</w:t>
            </w:r>
          </w:p>
        </w:tc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Dirección General</w:t>
            </w:r>
          </w:p>
        </w:tc>
        <w:tc>
          <w:tcPr>
            <w:tcW w:type="dxa" w:w="3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Presentación del acta de constitución y del alcance del MVP.</w:t>
            </w:r>
          </w:p>
        </w:tc>
        <w:tc>
          <w:tcPr>
            <w:tcW w:type="dxa" w:w="35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Alcance aprobado. Se ratifica el presupuesto de $265.000.000 y la fecha del 19 de noviembre.</w:t>
            </w:r>
          </w:p>
        </w:tc>
      </w:tr>
      <w:tr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07/09/2026</w:t>
            </w:r>
          </w:p>
        </w:tc>
        <w:tc>
          <w:tcPr>
            <w:tcW w:type="dxa" w:w="19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Área de Producto</w:t>
            </w:r>
          </w:p>
        </w:tc>
        <w:tc>
          <w:tcPr>
            <w:tcW w:type="dxa" w:w="32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Coherencia del prototipo con la plataforma de Insurance-as-a-Service.</w:t>
            </w:r>
          </w:p>
        </w:tc>
        <w:tc>
          <w:tcPr>
            <w:tcW w:type="dxa" w:w="35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 acuerda revisión conjunta de la arquitectura de información al inicio de la fase de Diseño.</w:t>
            </w:r>
          </w:p>
        </w:tc>
      </w:tr>
      <w:tr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09/09/2026</w:t>
            </w:r>
          </w:p>
        </w:tc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Área Actuarial</w:t>
            </w:r>
          </w:p>
        </w:tc>
        <w:tc>
          <w:tcPr>
            <w:tcW w:type="dxa" w:w="3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Restricciones sobre el simulador de planes.</w:t>
            </w:r>
          </w:p>
        </w:tc>
        <w:tc>
          <w:tcPr>
            <w:tcW w:type="dxa" w:w="35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 confirma la prohibición de usar tarifas reales. El simulador operará sobre rangos referenciales.</w:t>
            </w:r>
          </w:p>
        </w:tc>
      </w:tr>
      <w:tr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11/09/2026</w:t>
            </w:r>
          </w:p>
        </w:tc>
        <w:tc>
          <w:tcPr>
            <w:tcW w:type="dxa" w:w="19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Área de Marketing</w:t>
            </w:r>
          </w:p>
        </w:tc>
        <w:tc>
          <w:tcPr>
            <w:tcW w:type="dxa" w:w="32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Expectativas de alcance y velocidad de lanzamiento.</w:t>
            </w:r>
          </w:p>
        </w:tc>
        <w:tc>
          <w:tcPr>
            <w:tcW w:type="dxa" w:w="35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Desalineación registrada como PRB-01. Se agenda reunión de realineación.</w:t>
            </w:r>
          </w:p>
        </w:tc>
      </w:tr>
      <w:tr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14/09/2026</w:t>
            </w:r>
          </w:p>
        </w:tc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Área Legal</w:t>
            </w:r>
          </w:p>
        </w:tc>
        <w:tc>
          <w:tcPr>
            <w:tcW w:type="dxa" w:w="3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Revisión de los textos de exclusiones.</w:t>
            </w:r>
          </w:p>
        </w:tc>
        <w:tc>
          <w:tcPr>
            <w:tcW w:type="dxa" w:w="35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 solicita segunda ronda de revisión. Origen del incidente INC-01.</w:t>
            </w:r>
          </w:p>
        </w:tc>
      </w:tr>
      <w:tr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16/09/2026</w:t>
            </w:r>
          </w:p>
        </w:tc>
        <w:tc>
          <w:tcPr>
            <w:tcW w:type="dxa" w:w="19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Área Legal</w:t>
            </w:r>
          </w:p>
        </w:tc>
        <w:tc>
          <w:tcPr>
            <w:tcW w:type="dxa" w:w="32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Definición del mecanismo de validación de microcopy.</w:t>
            </w:r>
          </w:p>
        </w:tc>
        <w:tc>
          <w:tcPr>
            <w:tcW w:type="dxa" w:w="35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 acuerda avanzar hacia un punto de control único con lista de verificación. Acción correctiva 1.</w:t>
            </w:r>
          </w:p>
        </w:tc>
      </w:tr>
      <w:tr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22/09/2026</w:t>
            </w:r>
          </w:p>
        </w:tc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Dirección General</w:t>
            </w:r>
          </w:p>
        </w:tc>
        <w:tc>
          <w:tcPr>
            <w:tcW w:type="dxa" w:w="3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Validación formal del alcance del MVP (agendada).</w:t>
            </w:r>
          </w:p>
        </w:tc>
        <w:tc>
          <w:tcPr>
            <w:tcW w:type="dxa" w:w="35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Pendiente de realización a la fecha de este reporte.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8.2. Solicitudes de cambio recibidas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00"/>
        <w:gridCol w:w="1900"/>
        <w:gridCol w:w="3400"/>
        <w:gridCol w:w="3380"/>
      </w:tblGrid>
      <w:tr>
        <w:trPr>
          <w:tblHeader/>
        </w:trPr>
        <w:tc>
          <w:tcPr>
            <w:tcW w:type="dxa" w:w="14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19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  <w:tc>
          <w:tcPr>
            <w:tcW w:type="dxa" w:w="34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Solicitud</w:t>
            </w:r>
          </w:p>
        </w:tc>
        <w:tc>
          <w:tcPr>
            <w:tcW w:type="dxa" w:w="338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Trámite dado</w:t>
            </w:r>
          </w:p>
        </w:tc>
      </w:tr>
      <w:tr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11/09/2026</w:t>
            </w:r>
          </w:p>
        </w:tc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Área de Marketing</w:t>
            </w:r>
          </w:p>
        </w:tc>
        <w:tc>
          <w:tcPr>
            <w:tcW w:type="dxa" w:w="3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Incorporar contratación directa de ampliación de cobertura dentro de la aplicación.</w:t>
            </w:r>
          </w:p>
        </w:tc>
        <w:tc>
          <w:tcPr>
            <w:tcW w:type="dxa" w:w="33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Rechazada. Corresponde a HU-41, clasificada como 'Won't have' del MVP por su esfuerzo de 21 puntos. Documentada como alcance de una fase posterior.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8.3. Percepción del cliente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Las áreas de Producto y Actuarial manifestaron conformidad con el enfoque adoptado, en particular con la decisión de restringir el simulador a rangos referenciales. El área Legal expresó preocupación inicial por la simplificación de los textos contractuales, preocupación que el equipo atendió con la decisión de doble capa de información: resumen en lenguaje claro visible por defecto y clausulado literal accesible en un segundo nivel. El área de Marketing mantiene expectativas superiores al alcance acordado, lo cual está registrado como PRB-01 y se atiende con la acción correctiva 5.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Compromisos para el siguiente corte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Compromisos del equipo para el periodo comprendido entre el 25 de septiembre y el 24 de octubre de 2026, que será reportado en el Seguimiento 2: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180"/>
        <w:gridCol w:w="2400"/>
        <w:gridCol w:w="1500"/>
      </w:tblGrid>
      <w:tr>
        <w:trPr>
          <w:tblHeader/>
        </w:trPr>
        <w:tc>
          <w:tcPr>
            <w:tcW w:type="dxa" w:w="618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Compromiso</w:t>
            </w:r>
          </w:p>
        </w:tc>
        <w:tc>
          <w:tcPr>
            <w:tcW w:type="dxa" w:w="24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5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dxa" w:w="61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Cerrar la Fase Técnica 1 de Análisis con sus cuatro entregables completos.</w:t>
            </w:r>
          </w:p>
        </w:tc>
        <w:tc>
          <w:tcPr>
            <w:tcW w:type="dxa" w:w="2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Santiago Arias Mosquera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24/09/2026</w:t>
            </w:r>
          </w:p>
        </w:tc>
      </w:tr>
      <w:tr>
        <w:tc>
          <w:tcPr>
            <w:tcW w:type="dxa" w:w="61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Ejecutar las cinco acciones correctivas de este reporte.</w:t>
            </w:r>
          </w:p>
        </w:tc>
        <w:tc>
          <w:tcPr>
            <w:tcW w:type="dxa" w:w="2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Equipo completo</w:t>
            </w:r>
          </w:p>
        </w:tc>
        <w:tc>
          <w:tcPr>
            <w:tcW w:type="dxa" w:w="15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25/09/2026</w:t>
            </w:r>
          </w:p>
        </w:tc>
      </w:tr>
      <w:tr>
        <w:tc>
          <w:tcPr>
            <w:tcW w:type="dxa" w:w="61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Mantener el indicador de cumplimiento de sprint por encima del 80% en los sprints 3 y 4.</w:t>
            </w:r>
          </w:p>
        </w:tc>
        <w:tc>
          <w:tcPr>
            <w:tcW w:type="dxa" w:w="2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Marlon Andres Campo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22/10/2026</w:t>
            </w:r>
          </w:p>
        </w:tc>
      </w:tr>
      <w:tr>
        <w:tc>
          <w:tcPr>
            <w:tcW w:type="dxa" w:w="61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Contener la desviación presupuestal por debajo del umbral interno de alerta del 7%.</w:t>
            </w:r>
          </w:p>
        </w:tc>
        <w:tc>
          <w:tcPr>
            <w:tcW w:type="dxa" w:w="2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Marlon Andres Campo</w:t>
            </w:r>
          </w:p>
        </w:tc>
        <w:tc>
          <w:tcPr>
            <w:tcW w:type="dxa" w:w="15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22/10/2026</w:t>
            </w:r>
          </w:p>
        </w:tc>
      </w:tr>
      <w:tr>
        <w:tc>
          <w:tcPr>
            <w:tcW w:type="dxa" w:w="61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Completar la arquitectura de información, los diagramas de actividad y el modelo de datos.</w:t>
            </w:r>
          </w:p>
        </w:tc>
        <w:tc>
          <w:tcPr>
            <w:tcW w:type="dxa" w:w="2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Esteban Pineda Ardila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07/10/2026</w:t>
            </w:r>
          </w:p>
        </w:tc>
      </w:tr>
      <w:tr>
        <w:tc>
          <w:tcPr>
            <w:tcW w:type="dxa" w:w="61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Cerrar la Fase Técnica 2 de Diseño con el diseño de interfaz aprobado por Legal.</w:t>
            </w:r>
          </w:p>
        </w:tc>
        <w:tc>
          <w:tcPr>
            <w:tcW w:type="dxa" w:w="2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Esteban Pineda Ardila</w:t>
            </w:r>
          </w:p>
        </w:tc>
        <w:tc>
          <w:tcPr>
            <w:tcW w:type="dxa" w:w="15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15/10/2026</w:t>
            </w:r>
          </w:p>
        </w:tc>
      </w:tr>
      <w:tr>
        <w:tc>
          <w:tcPr>
            <w:tcW w:type="dxa" w:w="61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Actualizar la matriz de riesgos en las quincenas Q3 y Q4.</w:t>
            </w:r>
          </w:p>
        </w:tc>
        <w:tc>
          <w:tcPr>
            <w:tcW w:type="dxa" w:w="2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Santiago Arias Mosquera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22/10/2026</w:t>
            </w:r>
          </w:p>
        </w:tc>
      </w:tr>
    </w:tbl>
    <w:p>
      <w:pPr>
        <w:spacing w:after="28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10. Aprobación del reporte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0"/>
        <w:gridCol w:w="3800"/>
        <w:gridCol w:w="1400"/>
        <w:gridCol w:w="2080"/>
      </w:tblGrid>
      <w:tr>
        <w:trPr>
          <w:tblHeader/>
        </w:trPr>
        <w:tc>
          <w:tcPr>
            <w:tcW w:type="dxa" w:w="28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8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14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08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Firma</w:t>
            </w:r>
          </w:p>
        </w:tc>
      </w:tr>
      <w:tr>
        <w:tc>
          <w:tcPr>
            <w:tcW w:type="dxa" w:w="28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Marlon Andres Campo</w:t>
            </w:r>
          </w:p>
        </w:tc>
        <w:tc>
          <w:tcPr>
            <w:tcW w:type="dxa" w:w="38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Líder de Seguimiento y Control - Elaboró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21/09/2026</w:t>
            </w:r>
          </w:p>
        </w:tc>
        <w:tc>
          <w:tcPr>
            <w:tcW w:type="dxa" w:w="20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Santiago Arias Mosquera</w:t>
            </w:r>
          </w:p>
        </w:tc>
        <w:tc>
          <w:tcPr>
            <w:tcW w:type="dxa" w:w="38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Gerente de Proyecto - Revisó y aprobó</w:t>
            </w:r>
          </w:p>
        </w:tc>
        <w:tc>
          <w:tcPr>
            <w:tcW w:type="dxa" w:w="14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21/09/2026</w:t>
            </w:r>
          </w:p>
        </w:tc>
        <w:tc>
          <w:tcPr>
            <w:tcW w:type="dxa" w:w="20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Fabian Danilo Pérez Díaz</w:t>
            </w:r>
          </w:p>
        </w:tc>
        <w:tc>
          <w:tcPr>
            <w:tcW w:type="dxa" w:w="3800"/>
            <w:gridSpan w:val="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Docente responsable - Recibió</w:t>
            </w:r>
          </w:p>
        </w:tc>
        <w:tc>
          <w:tcPr>
            <w:tcW w:type="dxa" w:w="1400"/>
            <w:gridSpan w:val="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gridSpan w:val="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Documentos anexos a este reporte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080"/>
        <w:gridCol w:w="5000"/>
      </w:tblGrid>
      <w:tr>
        <w:trPr>
          <w:tblHeader/>
        </w:trPr>
        <w:tc>
          <w:tcPr>
            <w:tcW w:type="dxa" w:w="508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Anexo</w:t>
            </w:r>
          </w:p>
        </w:tc>
        <w:tc>
          <w:tcPr>
            <w:tcW w:type="dxa" w:w="5000"/>
            <w:gridSpan w:val="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</w:tr>
      <w:tr>
        <w:tc>
          <w:tcPr>
            <w:tcW w:type="dxa" w:w="50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Backlog priorizado y cálculo del indicador 1</w:t>
            </w:r>
          </w:p>
        </w:tc>
        <w:tc>
          <w:tcPr>
            <w:tcW w:type="dxa" w:w="50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backlog-priorizado-monokera.xlsx</w:t>
            </w:r>
          </w:p>
        </w:tc>
      </w:tr>
      <w:tr>
        <w:tc>
          <w:tcPr>
            <w:tcW w:type="dxa" w:w="50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Tabla de costos unitarios y cálculo del indicador 2</w:t>
            </w:r>
          </w:p>
        </w:tc>
        <w:tc>
          <w:tcPr>
            <w:tcW w:type="dxa" w:w="50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tabla-costos-unitarios-monokera.xlsx</w:t>
            </w:r>
          </w:p>
        </w:tc>
      </w:tr>
      <w:tr>
        <w:tc>
          <w:tcPr>
            <w:tcW w:type="dxa" w:w="50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Matriz de riesgos y registro de incidentes</w:t>
            </w:r>
          </w:p>
        </w:tc>
        <w:tc>
          <w:tcPr>
            <w:tcW w:type="dxa" w:w="50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matriz-riesgos-monokera.xlsx</w:t>
            </w:r>
          </w:p>
        </w:tc>
      </w:tr>
      <w:tr>
        <w:tc>
          <w:tcPr>
            <w:tcW w:type="dxa" w:w="508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Cronograma con avance ponderado</w:t>
            </w:r>
          </w:p>
        </w:tc>
        <w:tc>
          <w:tcPr>
            <w:tcW w:type="dxa" w:w="5000"/>
            <w:gridSpan w:val="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cronograma-monokera.xlsx</w:t>
            </w:r>
          </w:p>
        </w:tc>
      </w:tr>
      <w:tr>
        <w:tc>
          <w:tcPr>
            <w:tcW w:type="dxa" w:w="508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Identificación de stakeholders</w:t>
            </w:r>
          </w:p>
        </w:tc>
        <w:tc>
          <w:tcPr>
            <w:tcW w:type="dxa" w:w="50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identificacion-stakeholders-monokera.xlsx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Caso 10 - Monokera  |  Página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de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/>
      </w:pBdr>
      <w:spacing w:after="60"/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Reporte de Seguimiento 1  |  Caso 10 - Monokera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1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Seguimiento 1 - Caso 10 Monokera</dc:title>
  <dc:creator>Equipo Caso 10 - Monokera</dc:creator>
  <dc:description>Primer reporte quincenal de seguimiento del proyecto</dc:description>
  <cp:lastModifiedBy>Un-named</cp:lastModifiedBy>
  <cp:revision>1</cp:revision>
  <dcterms:created xsi:type="dcterms:W3CDTF">2026-10-16T00:18:08.358Z</dcterms:created>
  <dcterms:modified xsi:type="dcterms:W3CDTF">2026-10-16T00:18:08.358Z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