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60"/>
        <w:jc w:val="center"/>
      </w:pPr>
      <w:r>
        <w:rPr>
          <w:rFonts w:ascii="Calibri" w:cs="Calibri" w:eastAsia="Calibri" w:hAnsi="Calibri"/>
          <w:b/>
          <w:bCs/>
          <w:color w:val="1F4E79"/>
          <w:sz w:val="24"/>
          <w:szCs w:val="24"/>
        </w:rPr>
        <w:t xml:space="preserve">INSTITUCIÓN UNIVERSITARIA EAM</w:t>
      </w:r>
    </w:p>
    <w:p>
      <w:pPr>
        <w:spacing w:after="600"/>
        <w:jc w:val="center"/>
      </w:pPr>
      <w:r>
        <w:rPr>
          <w:rFonts w:ascii="Calibri" w:cs="Calibri" w:eastAsia="Calibri" w:hAnsi="Calibri"/>
          <w:color w:val="595959"/>
          <w:sz w:val="20"/>
          <w:szCs w:val="20"/>
        </w:rPr>
        <w:t xml:space="preserve">Programa de Ingeniería de Software  |  Desarrollo en Equipo  |  Semestre VIII</w:t>
      </w:r>
    </w:p>
    <w:p>
      <w:pPr>
        <w:spacing w:after="160"/>
        <w:jc w:val="center"/>
      </w:pPr>
      <w:r>
        <w:rPr>
          <w:rFonts w:ascii="Calibri" w:cs="Calibri" w:eastAsia="Calibri" w:hAnsi="Calibri"/>
          <w:b/>
          <w:bCs/>
          <w:color w:val="1F4E79"/>
          <w:sz w:val="44"/>
          <w:szCs w:val="44"/>
        </w:rPr>
        <w:t xml:space="preserve">ESQUEMA METODOLÓGICO</w:t>
      </w:r>
    </w:p>
    <w:p>
      <w:pPr>
        <w:spacing w:after="800"/>
        <w:jc w:val="center"/>
      </w:pPr>
      <w:r>
        <w:rPr>
          <w:rFonts w:ascii="Calibri" w:cs="Calibri" w:eastAsia="Calibri" w:hAnsi="Calibri"/>
          <w:color w:val="404040"/>
          <w:sz w:val="26"/>
          <w:szCs w:val="26"/>
        </w:rPr>
        <w:t xml:space="preserve">Selección y justificación del marco de trabajo del proyecto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6680"/>
      </w:tblGrid>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Caso asignado</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Caso 10 - Monokera</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Código del proyecto</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PI-2026-2-C10-MONOKERA</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Esquema seleccionado</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HÍBRIDO (predictivo por fases con ejecución iterativa por sprints)</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Versión del documento</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Fecha de elaboración</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 de septiembre de 2026</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Fase</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Fase Administrativa: Planeación</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Elaborado por</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 - Gerente de Proyecto</w:t>
            </w:r>
          </w:p>
        </w:tc>
      </w:tr>
      <w:tr>
        <w:tc>
          <w:tcPr>
            <w:tcW w:type="dxa" w:w="3400"/>
            <w:gridSpan w:val="1"/>
            <w:shd w:fill="D9E2F3"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Docente responsable</w:t>
            </w:r>
          </w:p>
        </w:tc>
        <w:tc>
          <w:tcPr>
            <w:tcW w:type="dxa" w:w="66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Fabian Danilo Pérez Díaz</w:t>
            </w:r>
          </w:p>
        </w:tc>
      </w:tr>
    </w:tbl>
    <w:p>
      <w:r>
        <w:br w:type="page"/>
      </w:r>
    </w:p>
    <w:p>
      <w:pPr>
        <w:pStyle w:val="Heading1"/>
        <w:spacing w:after="160" w:before="320"/>
      </w:pPr>
      <w:r>
        <w:rPr>
          <w:rFonts w:ascii="Calibri" w:cs="Calibri" w:eastAsia="Calibri" w:hAnsi="Calibri"/>
          <w:b/>
          <w:bCs/>
          <w:color w:val="1F4E79"/>
          <w:sz w:val="30"/>
          <w:szCs w:val="30"/>
        </w:rPr>
        <w:t xml:space="preserve">1. Propósito del documento</w:t>
      </w:r>
    </w:p>
    <w:p>
      <w:pPr>
        <w:spacing w:after="120" w:line="276"/>
        <w:jc w:val="both"/>
      </w:pPr>
      <w:r>
        <w:rPr>
          <w:rFonts w:ascii="Calibri" w:cs="Calibri" w:eastAsia="Calibri" w:hAnsi="Calibri"/>
          <w:b w:val="false"/>
          <w:bCs w:val="false"/>
          <w:i w:val="false"/>
          <w:iCs w:val="false"/>
          <w:color w:val="000000"/>
          <w:sz w:val="22"/>
          <w:szCs w:val="22"/>
        </w:rPr>
        <w:t xml:space="preserve">Este documento sustenta la selección del esquema metodológico que gobernará la ejecución del proyecto. La decisión no es una preferencia del equipo: se deriva del análisis de las condiciones específicas del Caso 10 - Monokera, y en particular de la combinación poco habitual entre un entorno altamente regulado, un nivel medio de claridad en los requerimientos y un nivel de incertidumbre declarado como medio-alto.</w:t>
      </w:r>
    </w:p>
    <w:p>
      <w:pPr>
        <w:pStyle w:val="Heading1"/>
        <w:spacing w:after="160" w:before="320"/>
      </w:pPr>
      <w:r>
        <w:rPr>
          <w:rFonts w:ascii="Calibri" w:cs="Calibri" w:eastAsia="Calibri" w:hAnsi="Calibri"/>
          <w:b/>
          <w:bCs/>
          <w:color w:val="1F4E79"/>
          <w:sz w:val="30"/>
          <w:szCs w:val="30"/>
        </w:rPr>
        <w:t xml:space="preserve">2. Análisis de las condiciones del caso</w:t>
      </w:r>
    </w:p>
    <w:p>
      <w:pPr>
        <w:spacing w:after="120" w:line="276"/>
        <w:jc w:val="both"/>
      </w:pPr>
      <w:r>
        <w:rPr>
          <w:rFonts w:ascii="Calibri" w:cs="Calibri" w:eastAsia="Calibri" w:hAnsi="Calibri"/>
          <w:b w:val="false"/>
          <w:bCs w:val="false"/>
          <w:i w:val="false"/>
          <w:iCs w:val="false"/>
          <w:color w:val="000000"/>
          <w:sz w:val="22"/>
          <w:szCs w:val="22"/>
        </w:rPr>
        <w:t xml:space="preserve">Antes de elegir un esquema, el equipo caracterizó las condiciones que este debe resolver:</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4180"/>
        <w:gridCol w:w="3600"/>
      </w:tblGrid>
      <w:tr>
        <w:trPr>
          <w:tblHeader/>
        </w:trPr>
        <w:tc>
          <w:tcPr>
            <w:tcW w:type="dxa" w:w="23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Condición del caso</w:t>
            </w:r>
          </w:p>
        </w:tc>
        <w:tc>
          <w:tcPr>
            <w:tcW w:type="dxa" w:w="41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Evidencia en el documento del proyecto</w:t>
            </w:r>
          </w:p>
        </w:tc>
        <w:tc>
          <w:tcPr>
            <w:tcW w:type="dxa" w:w="36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Implicación metodológica</w:t>
            </w:r>
          </w:p>
        </w:tc>
      </w:tr>
      <w:tr>
        <w:tc>
          <w:tcPr>
            <w:tcW w:type="dxa" w:w="23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Requerimientos de claridad media</w:t>
            </w:r>
          </w:p>
        </w:tc>
        <w:tc>
          <w:tcPr>
            <w:tcW w:type="dxa" w:w="41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"Existen lineamientos generales, pero el detalle funcional debe ser definido y priorizado por el equipo".</w:t>
            </w:r>
          </w:p>
        </w:tc>
        <w:tc>
          <w:tcPr>
            <w:tcW w:type="dxa" w:w="3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Se requiere descubrimiento iterativo: no es posible congelar la especificación completa al inicio.</w:t>
            </w:r>
          </w:p>
        </w:tc>
      </w:tr>
      <w:tr>
        <w:tc>
          <w:tcPr>
            <w:tcW w:type="dxa" w:w="23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Entorno regulado</w:t>
            </w:r>
          </w:p>
        </w:tc>
        <w:tc>
          <w:tcPr>
            <w:tcW w:type="dxa" w:w="41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Normativa de seguros, protección al consumidor financiero y circulares de la SFC.</w:t>
            </w:r>
          </w:p>
        </w:tc>
        <w:tc>
          <w:tcPr>
            <w:tcW w:type="dxa" w:w="3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Se requieren puntos de control formales, aprobaciones documentadas y trazabilidad.</w:t>
            </w:r>
          </w:p>
        </w:tc>
      </w:tr>
      <w:tr>
        <w:tc>
          <w:tcPr>
            <w:tcW w:type="dxa" w:w="23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Incertidumbre medio-alta</w:t>
            </w:r>
          </w:p>
        </w:tc>
        <w:tc>
          <w:tcPr>
            <w:tcW w:type="dxa" w:w="41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Posibilidad declarada de cambios regulatorios y de situaciones caóticas simuladas.</w:t>
            </w:r>
          </w:p>
        </w:tc>
        <w:tc>
          <w:tcPr>
            <w:tcW w:type="dxa" w:w="3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Se requiere capacidad de re-planeación sin perder el control del alcance.</w:t>
            </w:r>
          </w:p>
        </w:tc>
      </w:tr>
      <w:tr>
        <w:tc>
          <w:tcPr>
            <w:tcW w:type="dxa" w:w="23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Fases obligatorias predefinidas</w:t>
            </w:r>
          </w:p>
        </w:tc>
        <w:tc>
          <w:tcPr>
            <w:tcW w:type="dxa" w:w="41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Cinco fases técnicas y tres fases administrativas transversales impuestas por el caso.</w:t>
            </w:r>
          </w:p>
        </w:tc>
        <w:tc>
          <w:tcPr>
            <w:tcW w:type="dxa" w:w="3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El ciclo de vida global está fijado: no es negociable adoptar un marco puramente iterativo.</w:t>
            </w:r>
          </w:p>
        </w:tc>
      </w:tr>
      <w:tr>
        <w:tc>
          <w:tcPr>
            <w:tcW w:type="dxa" w:w="23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Fecha y presupuesto fijos</w:t>
            </w:r>
          </w:p>
        </w:tc>
        <w:tc>
          <w:tcPr>
            <w:tcW w:type="dxa" w:w="41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Entrega el 19 de noviembre de 2026 con $265.000.000 COP y desviación máxima de ±10%.</w:t>
            </w:r>
          </w:p>
        </w:tc>
        <w:tc>
          <w:tcPr>
            <w:tcW w:type="dxa" w:w="3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El alcance es la única variable ajustable: exige priorización explícita y negociable.</w:t>
            </w:r>
          </w:p>
        </w:tc>
      </w:tr>
      <w:tr>
        <w:tc>
          <w:tcPr>
            <w:tcW w:type="dxa" w:w="23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Indicadores quincenales obligatorios</w:t>
            </w:r>
          </w:p>
        </w:tc>
        <w:tc>
          <w:tcPr>
            <w:tcW w:type="dxa" w:w="41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Cumplimiento de sprint y desviación presupuestal, medidos cada dos semanas.</w:t>
            </w:r>
          </w:p>
        </w:tc>
        <w:tc>
          <w:tcPr>
            <w:tcW w:type="dxa" w:w="3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La cadencia de trabajo debe ser quincenal para que los indicadores sean medibles.</w:t>
            </w:r>
          </w:p>
        </w:tc>
      </w:tr>
      <w:tr>
        <w:tc>
          <w:tcPr>
            <w:tcW w:type="dxa" w:w="23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Stakeholders con intereses en tensión</w:t>
            </w:r>
          </w:p>
        </w:tc>
        <w:tc>
          <w:tcPr>
            <w:tcW w:type="dxa" w:w="41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Legal y Actuaría exigen precisión; Marketing presiona por velocidad.</w:t>
            </w:r>
          </w:p>
        </w:tc>
        <w:tc>
          <w:tcPr>
            <w:tcW w:type="dxa" w:w="3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Se requieren ceremonias de validación con el cliente dentro de cada iteración.</w:t>
            </w:r>
          </w:p>
        </w:tc>
      </w:tr>
    </w:tbl>
    <w:p>
      <w:r>
        <w:br w:type="page"/>
      </w:r>
    </w:p>
    <w:p>
      <w:pPr>
        <w:pStyle w:val="Heading1"/>
        <w:spacing w:after="160" w:before="320"/>
      </w:pPr>
      <w:r>
        <w:rPr>
          <w:rFonts w:ascii="Calibri" w:cs="Calibri" w:eastAsia="Calibri" w:hAnsi="Calibri"/>
          <w:b/>
          <w:bCs/>
          <w:color w:val="1F4E79"/>
          <w:sz w:val="30"/>
          <w:szCs w:val="30"/>
        </w:rPr>
        <w:t xml:space="preserve">3. Evaluación de las alternativas</w:t>
      </w:r>
    </w:p>
    <w:p>
      <w:pPr>
        <w:spacing w:after="120" w:line="276"/>
        <w:jc w:val="both"/>
      </w:pPr>
      <w:r>
        <w:rPr>
          <w:rFonts w:ascii="Calibri" w:cs="Calibri" w:eastAsia="Calibri" w:hAnsi="Calibri"/>
          <w:b w:val="false"/>
          <w:bCs w:val="false"/>
          <w:i w:val="false"/>
          <w:iCs w:val="false"/>
          <w:color w:val="000000"/>
          <w:sz w:val="22"/>
          <w:szCs w:val="22"/>
        </w:rPr>
        <w:t xml:space="preserve">El caso plantea tres opciones: ágil, robusto e híbrido. El equipo las evaluó frente a siete criterios derivados del análisis anterior, con una escala de 1 a 5 donde 5 indica el mejor ajuste a la condición evaluada.</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900"/>
        <w:gridCol w:w="1000"/>
        <w:gridCol w:w="1000"/>
        <w:gridCol w:w="4180"/>
      </w:tblGrid>
      <w:tr>
        <w:trPr>
          <w:tblHeader/>
        </w:trPr>
        <w:tc>
          <w:tcPr>
            <w:tcW w:type="dxa" w:w="30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Criterio de evaluación</w:t>
            </w:r>
          </w:p>
        </w:tc>
        <w:tc>
          <w:tcPr>
            <w:tcW w:type="dxa" w:w="9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Ágil</w:t>
            </w:r>
          </w:p>
        </w:tc>
        <w:tc>
          <w:tcPr>
            <w:tcW w:type="dxa" w:w="10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Robusto</w:t>
            </w:r>
          </w:p>
        </w:tc>
        <w:tc>
          <w:tcPr>
            <w:tcW w:type="dxa" w:w="10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Híbrido</w:t>
            </w:r>
          </w:p>
        </w:tc>
        <w:tc>
          <w:tcPr>
            <w:tcW w:type="dxa" w:w="41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Observación</w:t>
            </w:r>
          </w:p>
        </w:tc>
      </w:tr>
      <w:tr>
        <w:tc>
          <w:tcPr>
            <w:tcW w:type="dxa" w:w="3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Capacidad de absorber cambios regulatorios</w:t>
            </w:r>
          </w:p>
        </w:tc>
        <w:tc>
          <w:tcPr>
            <w:tcW w:type="dxa" w:w="9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w:t>
            </w:r>
          </w:p>
        </w:tc>
        <w:tc>
          <w:tcPr>
            <w:tcW w:type="dxa" w:w="1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w:t>
            </w:r>
          </w:p>
        </w:tc>
        <w:tc>
          <w:tcPr>
            <w:tcW w:type="dxa" w:w="1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w:t>
            </w:r>
          </w:p>
        </w:tc>
        <w:tc>
          <w:tcPr>
            <w:tcW w:type="dxa" w:w="41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El marco debe permitir re-priorizar sin renegociar todo el plan.</w:t>
            </w:r>
          </w:p>
        </w:tc>
      </w:tr>
      <w:tr>
        <w:tc>
          <w:tcPr>
            <w:tcW w:type="dxa" w:w="3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Trazabilidad y formalidad documental exigida por Legal</w:t>
            </w:r>
          </w:p>
        </w:tc>
        <w:tc>
          <w:tcPr>
            <w:tcW w:type="dxa" w:w="9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w:t>
            </w:r>
          </w:p>
        </w:tc>
        <w:tc>
          <w:tcPr>
            <w:tcW w:type="dxa" w:w="1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w:t>
            </w:r>
          </w:p>
        </w:tc>
        <w:tc>
          <w:tcPr>
            <w:tcW w:type="dxa" w:w="1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w:t>
            </w:r>
          </w:p>
        </w:tc>
        <w:tc>
          <w:tcPr>
            <w:tcW w:type="dxa" w:w="41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El híbrido conserva actas, aprobaciones y control de versiones.</w:t>
            </w:r>
          </w:p>
        </w:tc>
      </w:tr>
      <w:tr>
        <w:tc>
          <w:tcPr>
            <w:tcW w:type="dxa" w:w="3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Compatibilidad con las fases obligatorias del caso</w:t>
            </w:r>
          </w:p>
        </w:tc>
        <w:tc>
          <w:tcPr>
            <w:tcW w:type="dxa" w:w="9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w:t>
            </w:r>
          </w:p>
        </w:tc>
        <w:tc>
          <w:tcPr>
            <w:tcW w:type="dxa" w:w="1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w:t>
            </w:r>
          </w:p>
        </w:tc>
        <w:tc>
          <w:tcPr>
            <w:tcW w:type="dxa" w:w="1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w:t>
            </w:r>
          </w:p>
        </w:tc>
        <w:tc>
          <w:tcPr>
            <w:tcW w:type="dxa" w:w="41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Las cinco fases técnicas son un ciclo de vida predictivo impuesto.</w:t>
            </w:r>
          </w:p>
        </w:tc>
      </w:tr>
      <w:tr>
        <w:tc>
          <w:tcPr>
            <w:tcW w:type="dxa" w:w="3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Control de presupuesto con desviación máxima de ±10%</w:t>
            </w:r>
          </w:p>
        </w:tc>
        <w:tc>
          <w:tcPr>
            <w:tcW w:type="dxa" w:w="9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3</w:t>
            </w:r>
          </w:p>
        </w:tc>
        <w:tc>
          <w:tcPr>
            <w:tcW w:type="dxa" w:w="1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w:t>
            </w:r>
          </w:p>
        </w:tc>
        <w:tc>
          <w:tcPr>
            <w:tcW w:type="dxa" w:w="1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w:t>
            </w:r>
          </w:p>
        </w:tc>
        <w:tc>
          <w:tcPr>
            <w:tcW w:type="dxa" w:w="41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Requiere línea base de costos, propia de un enfoque predictivo.</w:t>
            </w:r>
          </w:p>
        </w:tc>
      </w:tr>
      <w:tr>
        <w:tc>
          <w:tcPr>
            <w:tcW w:type="dxa" w:w="3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Descubrimiento progresivo de requerimientos</w:t>
            </w:r>
          </w:p>
        </w:tc>
        <w:tc>
          <w:tcPr>
            <w:tcW w:type="dxa" w:w="9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w:t>
            </w:r>
          </w:p>
        </w:tc>
        <w:tc>
          <w:tcPr>
            <w:tcW w:type="dxa" w:w="1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w:t>
            </w:r>
          </w:p>
        </w:tc>
        <w:tc>
          <w:tcPr>
            <w:tcW w:type="dxa" w:w="1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4</w:t>
            </w:r>
          </w:p>
        </w:tc>
        <w:tc>
          <w:tcPr>
            <w:tcW w:type="dxa" w:w="41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La claridad media de requisitos impide una especificación inicial completa.</w:t>
            </w:r>
          </w:p>
        </w:tc>
      </w:tr>
      <w:tr>
        <w:tc>
          <w:tcPr>
            <w:tcW w:type="dxa" w:w="3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Medición quincenal del cumplimiento de sprint</w:t>
            </w:r>
          </w:p>
        </w:tc>
        <w:tc>
          <w:tcPr>
            <w:tcW w:type="dxa" w:w="9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w:t>
            </w:r>
          </w:p>
        </w:tc>
        <w:tc>
          <w:tcPr>
            <w:tcW w:type="dxa" w:w="1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w:t>
            </w:r>
          </w:p>
        </w:tc>
        <w:tc>
          <w:tcPr>
            <w:tcW w:type="dxa" w:w="1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w:t>
            </w:r>
          </w:p>
        </w:tc>
        <w:tc>
          <w:tcPr>
            <w:tcW w:type="dxa" w:w="41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El indicador 1 presupone trabajo organizado en iteraciones.</w:t>
            </w:r>
          </w:p>
        </w:tc>
      </w:tr>
      <w:tr>
        <w:tc>
          <w:tcPr>
            <w:tcW w:type="dxa" w:w="3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Respuesta ante situaciones caóticas simuladas</w:t>
            </w:r>
          </w:p>
        </w:tc>
        <w:tc>
          <w:tcPr>
            <w:tcW w:type="dxa" w:w="9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w:t>
            </w:r>
          </w:p>
        </w:tc>
        <w:tc>
          <w:tcPr>
            <w:tcW w:type="dxa" w:w="1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2</w:t>
            </w:r>
          </w:p>
        </w:tc>
        <w:tc>
          <w:tcPr>
            <w:tcW w:type="dxa" w:w="1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4</w:t>
            </w:r>
          </w:p>
        </w:tc>
        <w:tc>
          <w:tcPr>
            <w:tcW w:type="dxa" w:w="41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Se necesita re-planeación rápida sin perder el control formal.</w:t>
            </w:r>
          </w:p>
        </w:tc>
      </w:tr>
      <w:tr>
        <w:tc>
          <w:tcPr>
            <w:tcW w:type="dxa" w:w="3000"/>
            <w:gridSpan w:val="1"/>
            <w:shd w:fill="E2EFDA"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PUNTAJE TOTAL</w:t>
            </w:r>
          </w:p>
        </w:tc>
        <w:tc>
          <w:tcPr>
            <w:tcW w:type="dxa" w:w="900"/>
            <w:gridSpan w:val="1"/>
            <w:shd w:fill="E2EFDA"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27</w:t>
            </w:r>
          </w:p>
        </w:tc>
        <w:tc>
          <w:tcPr>
            <w:tcW w:type="dxa" w:w="1000"/>
            <w:gridSpan w:val="1"/>
            <w:shd w:fill="E2EFDA"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23</w:t>
            </w:r>
          </w:p>
        </w:tc>
        <w:tc>
          <w:tcPr>
            <w:tcW w:type="dxa" w:w="1000"/>
            <w:gridSpan w:val="1"/>
            <w:shd w:fill="E2EFDA"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33</w:t>
            </w:r>
          </w:p>
        </w:tc>
        <w:tc>
          <w:tcPr>
            <w:tcW w:type="dxa" w:w="4180"/>
            <w:gridSpan w:val="1"/>
            <w:shd w:fill="E2EFDA" w:color="auto" w:val="clear"/>
            <w:tcMar>
              <w:top w:type="dxa" w:w="60"/>
              <w:left w:type="dxa" w:w="100"/>
              <w:bottom w:type="dxa" w:w="60"/>
              <w:right w:type="dxa" w:w="100"/>
            </w:tcMar>
            <w:vAlign w:val="center"/>
          </w:tcPr>
          <w:p>
            <w:pPr>
              <w:spacing w:after="40" w:line="252"/>
              <w:jc w:val="left"/>
            </w:pPr>
            <w:r>
              <w:rPr>
                <w:rFonts w:ascii="Calibri" w:cs="Calibri" w:eastAsia="Calibri" w:hAnsi="Calibri"/>
                <w:b/>
                <w:bCs/>
                <w:color w:val="000000"/>
                <w:sz w:val="20"/>
                <w:szCs w:val="20"/>
              </w:rPr>
              <w:t xml:space="preserve">El esquema híbrido obtiene el mayor ajuste.</w:t>
            </w:r>
          </w:p>
        </w:tc>
      </w:tr>
    </w:tbl>
    <w:p>
      <w:pPr>
        <w:spacing w:after="200"/>
      </w:pPr>
    </w:p>
    <w:p>
      <w:pPr>
        <w:pStyle w:val="Heading2"/>
        <w:spacing w:after="120" w:before="240"/>
      </w:pPr>
      <w:r>
        <w:rPr>
          <w:rFonts w:ascii="Calibri" w:cs="Calibri" w:eastAsia="Calibri" w:hAnsi="Calibri"/>
          <w:b/>
          <w:bCs/>
          <w:color w:val="1F4E79"/>
          <w:sz w:val="25"/>
          <w:szCs w:val="25"/>
        </w:rPr>
        <w:t xml:space="preserve">3.1. Por qué se descarta un esquema puramente ágil</w:t>
      </w:r>
    </w:p>
    <w:p>
      <w:pPr>
        <w:spacing w:after="120" w:line="276"/>
        <w:jc w:val="both"/>
      </w:pPr>
      <w:r>
        <w:rPr>
          <w:rFonts w:ascii="Calibri" w:cs="Calibri" w:eastAsia="Calibri" w:hAnsi="Calibri"/>
          <w:b w:val="false"/>
          <w:bCs w:val="false"/>
          <w:i w:val="false"/>
          <w:iCs w:val="false"/>
          <w:color w:val="000000"/>
          <w:sz w:val="22"/>
          <w:szCs w:val="22"/>
        </w:rPr>
        <w:t xml:space="preserve">Un marco ágil puro responde bien a la incertidumbre, pero es incompatible con dos exigencias del caso. La primera es la formalidad documental: en un entorno supervisado por la Superintendencia Financiera, el área legal necesita aprobaciones explícitas y versionadas de cada texto contractual mostrado al asegurado, y un backlog en evolución permanente no proporciona ese registro. La segunda es la estructura de fases: el caso impone cinco fases técnicas secuenciales con entregables definidos y liderazgo rotativo, lo cual corresponde a un ciclo de vida predictivo y no a un flujo continuo.</w:t>
      </w:r>
    </w:p>
    <w:p>
      <w:pPr>
        <w:pStyle w:val="Heading2"/>
        <w:spacing w:after="120" w:before="240"/>
      </w:pPr>
      <w:r>
        <w:rPr>
          <w:rFonts w:ascii="Calibri" w:cs="Calibri" w:eastAsia="Calibri" w:hAnsi="Calibri"/>
          <w:b/>
          <w:bCs/>
          <w:color w:val="1F4E79"/>
          <w:sz w:val="25"/>
          <w:szCs w:val="25"/>
        </w:rPr>
        <w:t xml:space="preserve">3.2. Por qué se descarta un esquema puramente robusto</w:t>
      </w:r>
    </w:p>
    <w:p>
      <w:pPr>
        <w:spacing w:after="120" w:line="276"/>
        <w:jc w:val="both"/>
      </w:pPr>
      <w:r>
        <w:rPr>
          <w:rFonts w:ascii="Calibri" w:cs="Calibri" w:eastAsia="Calibri" w:hAnsi="Calibri"/>
          <w:b w:val="false"/>
          <w:bCs w:val="false"/>
          <w:i w:val="false"/>
          <w:iCs w:val="false"/>
          <w:color w:val="000000"/>
          <w:sz w:val="22"/>
          <w:szCs w:val="22"/>
        </w:rPr>
        <w:t xml:space="preserve">Un marco predictivo clásico aportaría el control documental requerido, pero fracasaría ante la realidad del caso. Con un nivel de claridad de requerimientos declarado como medio, especificar la totalidad del producto antes de construir llevaría a documentar supuestos que las pruebas de usabilidad terminarían invalidando. Además, el caso advierte que el docente puede introducir en cualquier momento recortes de presupuesto, cambios de alcance o requerimientos urgentes; un plan cerrado obligaría a renegociar la línea base completa ante cada evento, consumiendo el tiempo que debería dedicarse a resolverlos.</w:t>
      </w:r>
    </w:p>
    <w:p>
      <w:r>
        <w:br w:type="page"/>
      </w:r>
    </w:p>
    <w:p>
      <w:pPr>
        <w:pStyle w:val="Heading1"/>
        <w:spacing w:after="160" w:before="320"/>
      </w:pPr>
      <w:r>
        <w:rPr>
          <w:rFonts w:ascii="Calibri" w:cs="Calibri" w:eastAsia="Calibri" w:hAnsi="Calibri"/>
          <w:b/>
          <w:bCs/>
          <w:color w:val="1F4E79"/>
          <w:sz w:val="30"/>
          <w:szCs w:val="30"/>
        </w:rPr>
        <w:t xml:space="preserve">4. Esquema seleccionado: híbrido</w:t>
      </w:r>
    </w:p>
    <w:p>
      <w:pPr>
        <w:spacing w:after="120" w:line="276"/>
        <w:jc w:val="both"/>
      </w:pPr>
      <w:r>
        <w:rPr>
          <w:rFonts w:ascii="Calibri" w:cs="Calibri" w:eastAsia="Calibri" w:hAnsi="Calibri"/>
          <w:b/>
          <w:bCs/>
          <w:i w:val="false"/>
          <w:iCs w:val="false"/>
          <w:color w:val="000000"/>
          <w:sz w:val="22"/>
          <w:szCs w:val="22"/>
        </w:rPr>
        <w:t xml:space="preserve">El equipo adopta un esquema HÍBRIDO: </w:t>
      </w:r>
      <w:r>
        <w:rPr>
          <w:rFonts w:ascii="Calibri" w:cs="Calibri" w:eastAsia="Calibri" w:hAnsi="Calibri"/>
          <w:b w:val="false"/>
          <w:bCs w:val="false"/>
          <w:i w:val="false"/>
          <w:iCs w:val="false"/>
          <w:color w:val="000000"/>
          <w:sz w:val="22"/>
          <w:szCs w:val="22"/>
        </w:rPr>
        <w:t xml:space="preserve">gobierno predictivo por fases en la capa de proyecto, con ejecución iterativa por sprints quincenales en la capa de trabajo diario.</w:t>
      </w:r>
    </w:p>
    <w:p>
      <w:pPr>
        <w:spacing w:after="120" w:line="276"/>
        <w:jc w:val="both"/>
      </w:pPr>
      <w:r>
        <w:rPr>
          <w:rFonts w:ascii="Calibri" w:cs="Calibri" w:eastAsia="Calibri" w:hAnsi="Calibri"/>
          <w:b w:val="false"/>
          <w:bCs w:val="false"/>
          <w:i w:val="false"/>
          <w:iCs w:val="false"/>
          <w:color w:val="000000"/>
          <w:sz w:val="22"/>
          <w:szCs w:val="22"/>
        </w:rPr>
        <w:t xml:space="preserve">En términos prácticos, el proyecto se planifica, controla y documenta como un proyecto predictivo -con línea base de alcance, cronograma y costos, puntos de control formales y actas de cierre de fase-, mientras que la construcción del prototipo se ejecuta en iteraciones de dos semanas que permiten descubrir, validar y ajustar el detalle funcional junto con los stakeholders.</w:t>
      </w:r>
    </w:p>
    <w:p>
      <w:pPr>
        <w:pStyle w:val="Heading2"/>
        <w:spacing w:after="120" w:before="240"/>
      </w:pPr>
      <w:r>
        <w:rPr>
          <w:rFonts w:ascii="Calibri" w:cs="Calibri" w:eastAsia="Calibri" w:hAnsi="Calibri"/>
          <w:b/>
          <w:bCs/>
          <w:color w:val="1F4E79"/>
          <w:sz w:val="25"/>
          <w:szCs w:val="25"/>
        </w:rPr>
        <w:t xml:space="preserve">4.1. Capa predictiva: gobierno del proyecto</w:t>
      </w:r>
    </w:p>
    <w:p>
      <w:pPr>
        <w:pStyle w:val="ListParagraph"/>
        <w:numPr>
          <w:ilvl w:val="0"/>
          <w:numId w:val="2"/>
        </w:numPr>
        <w:spacing w:after="80" w:line="276"/>
        <w:jc w:val="both"/>
      </w:pPr>
      <w:r>
        <w:rPr>
          <w:rFonts w:ascii="Calibri" w:cs="Calibri" w:eastAsia="Calibri" w:hAnsi="Calibri"/>
          <w:sz w:val="22"/>
          <w:szCs w:val="22"/>
        </w:rPr>
        <w:t xml:space="preserve">Ciclo de vida por las cinco fases técnicas obligatorias del caso, con solapamiento planificado entre fases consecutivas.</w:t>
      </w:r>
    </w:p>
    <w:p>
      <w:pPr>
        <w:pStyle w:val="ListParagraph"/>
        <w:numPr>
          <w:ilvl w:val="0"/>
          <w:numId w:val="2"/>
        </w:numPr>
        <w:spacing w:after="80" w:line="276"/>
        <w:jc w:val="both"/>
      </w:pPr>
      <w:r>
        <w:rPr>
          <w:rFonts w:ascii="Calibri" w:cs="Calibri" w:eastAsia="Calibri" w:hAnsi="Calibri"/>
          <w:sz w:val="22"/>
          <w:szCs w:val="22"/>
        </w:rPr>
        <w:t xml:space="preserve">Línea base de alcance congelada en el acta de constitución, con alcance incluido y excluido declarados explícitamente.</w:t>
      </w:r>
    </w:p>
    <w:p>
      <w:pPr>
        <w:pStyle w:val="ListParagraph"/>
        <w:numPr>
          <w:ilvl w:val="0"/>
          <w:numId w:val="2"/>
        </w:numPr>
        <w:spacing w:after="80" w:line="276"/>
        <w:jc w:val="both"/>
      </w:pPr>
      <w:r>
        <w:rPr>
          <w:rFonts w:ascii="Calibri" w:cs="Calibri" w:eastAsia="Calibri" w:hAnsi="Calibri"/>
          <w:sz w:val="22"/>
          <w:szCs w:val="22"/>
        </w:rPr>
        <w:t xml:space="preserve">Línea base de cronograma y de costos, contra la cual se mide la desviación presupuestal cada quincena.</w:t>
      </w:r>
    </w:p>
    <w:p>
      <w:pPr>
        <w:pStyle w:val="ListParagraph"/>
        <w:numPr>
          <w:ilvl w:val="0"/>
          <w:numId w:val="2"/>
        </w:numPr>
        <w:spacing w:after="80" w:line="276"/>
        <w:jc w:val="both"/>
      </w:pPr>
      <w:r>
        <w:rPr>
          <w:rFonts w:ascii="Calibri" w:cs="Calibri" w:eastAsia="Calibri" w:hAnsi="Calibri"/>
          <w:sz w:val="22"/>
          <w:szCs w:val="22"/>
        </w:rPr>
        <w:t xml:space="preserve">Punto de control formal al cierre de cada fase, con acta firmada por el líder saliente y el líder entrante.</w:t>
      </w:r>
    </w:p>
    <w:p>
      <w:pPr>
        <w:pStyle w:val="ListParagraph"/>
        <w:numPr>
          <w:ilvl w:val="0"/>
          <w:numId w:val="2"/>
        </w:numPr>
        <w:spacing w:after="80" w:line="276"/>
        <w:jc w:val="both"/>
      </w:pPr>
      <w:r>
        <w:rPr>
          <w:rFonts w:ascii="Calibri" w:cs="Calibri" w:eastAsia="Calibri" w:hAnsi="Calibri"/>
          <w:sz w:val="22"/>
          <w:szCs w:val="22"/>
        </w:rPr>
        <w:t xml:space="preserve">Procedimiento formal de control de cambios: toda solicitud nueva exige análisis previo de impacto en tiempo y costo.</w:t>
      </w:r>
    </w:p>
    <w:p>
      <w:pPr>
        <w:pStyle w:val="ListParagraph"/>
        <w:numPr>
          <w:ilvl w:val="0"/>
          <w:numId w:val="2"/>
        </w:numPr>
        <w:spacing w:after="80" w:line="276"/>
        <w:jc w:val="both"/>
      </w:pPr>
      <w:r>
        <w:rPr>
          <w:rFonts w:ascii="Calibri" w:cs="Calibri" w:eastAsia="Calibri" w:hAnsi="Calibri"/>
          <w:sz w:val="22"/>
          <w:szCs w:val="22"/>
        </w:rPr>
        <w:t xml:space="preserve">Repositorio documental único con control de versiones, exigido por la naturaleza regulada del cliente.</w:t>
      </w:r>
    </w:p>
    <w:p>
      <w:pPr>
        <w:pStyle w:val="Heading2"/>
        <w:spacing w:after="120" w:before="240"/>
      </w:pPr>
      <w:r>
        <w:rPr>
          <w:rFonts w:ascii="Calibri" w:cs="Calibri" w:eastAsia="Calibri" w:hAnsi="Calibri"/>
          <w:b/>
          <w:bCs/>
          <w:color w:val="1F4E79"/>
          <w:sz w:val="25"/>
          <w:szCs w:val="25"/>
        </w:rPr>
        <w:t xml:space="preserve">4.2. Capa iterativa: ejecución del trabajo</w:t>
      </w:r>
    </w:p>
    <w:p>
      <w:pPr>
        <w:pStyle w:val="ListParagraph"/>
        <w:numPr>
          <w:ilvl w:val="0"/>
          <w:numId w:val="2"/>
        </w:numPr>
        <w:spacing w:after="80" w:line="276"/>
        <w:jc w:val="both"/>
      </w:pPr>
      <w:r>
        <w:rPr>
          <w:rFonts w:ascii="Calibri" w:cs="Calibri" w:eastAsia="Calibri" w:hAnsi="Calibri"/>
          <w:sz w:val="22"/>
          <w:szCs w:val="22"/>
        </w:rPr>
        <w:t xml:space="preserve">Sprints de dos semanas alineados exactamente con las quincenas de medición de los indicadores obligatorios.</w:t>
      </w:r>
    </w:p>
    <w:p>
      <w:pPr>
        <w:pStyle w:val="ListParagraph"/>
        <w:numPr>
          <w:ilvl w:val="0"/>
          <w:numId w:val="2"/>
        </w:numPr>
        <w:spacing w:after="80" w:line="276"/>
        <w:jc w:val="both"/>
      </w:pPr>
      <w:r>
        <w:rPr>
          <w:rFonts w:ascii="Calibri" w:cs="Calibri" w:eastAsia="Calibri" w:hAnsi="Calibri"/>
          <w:sz w:val="22"/>
          <w:szCs w:val="22"/>
        </w:rPr>
        <w:t xml:space="preserve">Backlog de producto priorizado con MoSCoW y relación valor/esfuerzo, revisado al cierre de cada sprint.</w:t>
      </w:r>
    </w:p>
    <w:p>
      <w:pPr>
        <w:pStyle w:val="ListParagraph"/>
        <w:numPr>
          <w:ilvl w:val="0"/>
          <w:numId w:val="2"/>
        </w:numPr>
        <w:spacing w:after="80" w:line="276"/>
        <w:jc w:val="both"/>
      </w:pPr>
      <w:r>
        <w:rPr>
          <w:rFonts w:ascii="Calibri" w:cs="Calibri" w:eastAsia="Calibri" w:hAnsi="Calibri"/>
          <w:sz w:val="22"/>
          <w:szCs w:val="22"/>
        </w:rPr>
        <w:t xml:space="preserve">Estimación relativa en puntos de historia sobre escala Fibonacci.</w:t>
      </w:r>
    </w:p>
    <w:p>
      <w:pPr>
        <w:pStyle w:val="ListParagraph"/>
        <w:numPr>
          <w:ilvl w:val="0"/>
          <w:numId w:val="2"/>
        </w:numPr>
        <w:spacing w:after="80" w:line="276"/>
        <w:jc w:val="both"/>
      </w:pPr>
      <w:r>
        <w:rPr>
          <w:rFonts w:ascii="Calibri" w:cs="Calibri" w:eastAsia="Calibri" w:hAnsi="Calibri"/>
          <w:sz w:val="22"/>
          <w:szCs w:val="22"/>
        </w:rPr>
        <w:t xml:space="preserve">Historias de usuario con criterios de aceptación verificables como unidad de trabajo y de medición.</w:t>
      </w:r>
    </w:p>
    <w:p>
      <w:pPr>
        <w:pStyle w:val="ListParagraph"/>
        <w:numPr>
          <w:ilvl w:val="0"/>
          <w:numId w:val="2"/>
        </w:numPr>
        <w:spacing w:after="80" w:line="276"/>
        <w:jc w:val="both"/>
      </w:pPr>
      <w:r>
        <w:rPr>
          <w:rFonts w:ascii="Calibri" w:cs="Calibri" w:eastAsia="Calibri" w:hAnsi="Calibri"/>
          <w:sz w:val="22"/>
          <w:szCs w:val="22"/>
        </w:rPr>
        <w:t xml:space="preserve">Compromiso de sprint explícito al inicio de cada iteración, que es el denominador del indicador de cumplimiento.</w:t>
      </w:r>
    </w:p>
    <w:p>
      <w:pPr>
        <w:pStyle w:val="ListParagraph"/>
        <w:numPr>
          <w:ilvl w:val="0"/>
          <w:numId w:val="2"/>
        </w:numPr>
        <w:spacing w:after="80" w:line="276"/>
        <w:jc w:val="both"/>
      </w:pPr>
      <w:r>
        <w:rPr>
          <w:rFonts w:ascii="Calibri" w:cs="Calibri" w:eastAsia="Calibri" w:hAnsi="Calibri"/>
          <w:sz w:val="22"/>
          <w:szCs w:val="22"/>
        </w:rPr>
        <w:t xml:space="preserve">Validación incremental con los stakeholders dentro de cada sprint, no únicamente al final de la fase.</w:t>
      </w:r>
    </w:p>
    <w:p>
      <w:pPr>
        <w:pStyle w:val="Heading2"/>
        <w:spacing w:after="120" w:before="240"/>
      </w:pPr>
      <w:r>
        <w:rPr>
          <w:rFonts w:ascii="Calibri" w:cs="Calibri" w:eastAsia="Calibri" w:hAnsi="Calibri"/>
          <w:b/>
          <w:bCs/>
          <w:color w:val="1F4E79"/>
          <w:sz w:val="25"/>
          <w:szCs w:val="25"/>
        </w:rPr>
        <w:t xml:space="preserve">4.3. Regla de articulación entre las dos capas</w:t>
      </w:r>
    </w:p>
    <w:p>
      <w:pPr>
        <w:spacing w:after="120" w:line="276"/>
        <w:jc w:val="both"/>
      </w:pPr>
      <w:r>
        <w:rPr>
          <w:rFonts w:ascii="Calibri" w:cs="Calibri" w:eastAsia="Calibri" w:hAnsi="Calibri"/>
          <w:b w:val="false"/>
          <w:bCs w:val="false"/>
          <w:i w:val="false"/>
          <w:iCs w:val="false"/>
          <w:color w:val="000000"/>
          <w:sz w:val="22"/>
          <w:szCs w:val="22"/>
        </w:rPr>
        <w:t xml:space="preserve">La regla que resuelve los conflictos entre ambas capas es la siguiente: la capa iterativa decide CÓMO y en QUÉ ORDEN se construye; la capa predictiva decide QUÉ entra y QUÉ sale del alcance. Un equipo puede re-priorizar libremente dentro del alcance acordado, pero no puede incorporar ni retirar alcance sin pasar por el control de cambios formal. Esta separación es la que permite responder rápido ante una situación caótica sin perder la trazabilidad que el cliente exige.</w:t>
      </w:r>
    </w:p>
    <w:p>
      <w:pPr>
        <w:pStyle w:val="Heading1"/>
        <w:spacing w:after="160" w:before="320"/>
      </w:pPr>
      <w:r>
        <w:rPr>
          <w:rFonts w:ascii="Calibri" w:cs="Calibri" w:eastAsia="Calibri" w:hAnsi="Calibri"/>
          <w:b/>
          <w:bCs/>
          <w:color w:val="1F4E79"/>
          <w:sz w:val="30"/>
          <w:szCs w:val="30"/>
        </w:rPr>
        <w:t xml:space="preserve">5. Ceremonias y cadencia de trabajo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1700"/>
        <w:gridCol w:w="2500"/>
        <w:gridCol w:w="3580"/>
      </w:tblGrid>
      <w:tr>
        <w:trPr>
          <w:tblHeader/>
        </w:trPr>
        <w:tc>
          <w:tcPr>
            <w:tcW w:type="dxa" w:w="23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Ceremonia</w:t>
            </w:r>
          </w:p>
        </w:tc>
        <w:tc>
          <w:tcPr>
            <w:tcW w:type="dxa" w:w="17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Frecuencia</w:t>
            </w:r>
          </w:p>
        </w:tc>
        <w:tc>
          <w:tcPr>
            <w:tcW w:type="dxa" w:w="25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Participantes</w:t>
            </w:r>
          </w:p>
        </w:tc>
        <w:tc>
          <w:tcPr>
            <w:tcW w:type="dxa" w:w="35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Propósito y salida documental</w:t>
            </w:r>
          </w:p>
        </w:tc>
      </w:tr>
      <w:tr>
        <w:tc>
          <w:tcPr>
            <w:tcW w:type="dxa" w:w="23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Planificación de sprint</w:t>
            </w:r>
          </w:p>
        </w:tc>
        <w:tc>
          <w:tcPr>
            <w:tcW w:type="dxa" w:w="1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Cada 2 semanas, al inicio</w:t>
            </w:r>
          </w:p>
        </w:tc>
        <w:tc>
          <w:tcPr>
            <w:tcW w:type="dxa" w:w="25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Equipo completo y líder de la fase en curso</w:t>
            </w:r>
          </w:p>
        </w:tc>
        <w:tc>
          <w:tcPr>
            <w:tcW w:type="dxa" w:w="35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Definir el compromiso del sprint (HCO). Salida: sprint backlog registrado.</w:t>
            </w:r>
          </w:p>
        </w:tc>
      </w:tr>
      <w:tr>
        <w:tc>
          <w:tcPr>
            <w:tcW w:type="dxa" w:w="23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Sincronización de equipo</w:t>
            </w:r>
          </w:p>
        </w:tc>
        <w:tc>
          <w:tcPr>
            <w:tcW w:type="dxa" w:w="1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Dos veces por semana</w:t>
            </w:r>
          </w:p>
        </w:tc>
        <w:tc>
          <w:tcPr>
            <w:tcW w:type="dxa" w:w="25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Equipo completo</w:t>
            </w:r>
          </w:p>
        </w:tc>
        <w:tc>
          <w:tcPr>
            <w:tcW w:type="dxa" w:w="35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Detectar bloqueos tempranos. Salida: nota en la bitácora del equipo.</w:t>
            </w:r>
          </w:p>
        </w:tc>
      </w:tr>
      <w:tr>
        <w:tc>
          <w:tcPr>
            <w:tcW w:type="dxa" w:w="23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Revisión de sprint con el cliente</w:t>
            </w:r>
          </w:p>
        </w:tc>
        <w:tc>
          <w:tcPr>
            <w:tcW w:type="dxa" w:w="1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Cada 2 semanas, al cierre</w:t>
            </w:r>
          </w:p>
        </w:tc>
        <w:tc>
          <w:tcPr>
            <w:tcW w:type="dxa" w:w="25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Equipo y stakeholders convocados</w:t>
            </w:r>
          </w:p>
        </w:tc>
        <w:tc>
          <w:tcPr>
            <w:tcW w:type="dxa" w:w="35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Validar el avance navegable. Salida: acta de reunión en la bitácora.</w:t>
            </w:r>
          </w:p>
        </w:tc>
      </w:tr>
      <w:tr>
        <w:tc>
          <w:tcPr>
            <w:tcW w:type="dxa" w:w="23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Retrospectiva</w:t>
            </w:r>
          </w:p>
        </w:tc>
        <w:tc>
          <w:tcPr>
            <w:tcW w:type="dxa" w:w="1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Cada 2 semanas, al cierre</w:t>
            </w:r>
          </w:p>
        </w:tc>
        <w:tc>
          <w:tcPr>
            <w:tcW w:type="dxa" w:w="25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Equipo completo</w:t>
            </w:r>
          </w:p>
        </w:tc>
        <w:tc>
          <w:tcPr>
            <w:tcW w:type="dxa" w:w="35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Mejorar el proceso. Salida: acciones de mejora con responsable.</w:t>
            </w:r>
          </w:p>
        </w:tc>
      </w:tr>
      <w:tr>
        <w:tc>
          <w:tcPr>
            <w:tcW w:type="dxa" w:w="23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Revisión de riesgos</w:t>
            </w:r>
          </w:p>
        </w:tc>
        <w:tc>
          <w:tcPr>
            <w:tcW w:type="dxa" w:w="1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Cada 2 semanas</w:t>
            </w:r>
          </w:p>
        </w:tc>
        <w:tc>
          <w:tcPr>
            <w:tcW w:type="dxa" w:w="25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Equipo y líder de Seguimiento</w:t>
            </w:r>
          </w:p>
        </w:tc>
        <w:tc>
          <w:tcPr>
            <w:tcW w:type="dxa" w:w="35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Actualizar la matriz de riesgos. Salida: matriz versionada.</w:t>
            </w:r>
          </w:p>
        </w:tc>
      </w:tr>
      <w:tr>
        <w:tc>
          <w:tcPr>
            <w:tcW w:type="dxa" w:w="23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Reporte de seguimiento</w:t>
            </w:r>
          </w:p>
        </w:tc>
        <w:tc>
          <w:tcPr>
            <w:tcW w:type="dxa" w:w="1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En los tres cortes del caso</w:t>
            </w:r>
          </w:p>
        </w:tc>
        <w:tc>
          <w:tcPr>
            <w:tcW w:type="dxa" w:w="25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Líder de Seguimiento</w:t>
            </w:r>
          </w:p>
        </w:tc>
        <w:tc>
          <w:tcPr>
            <w:tcW w:type="dxa" w:w="35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Reportar indicadores al cliente. Salida: reporte de seguimiento.</w:t>
            </w:r>
          </w:p>
        </w:tc>
      </w:tr>
      <w:tr>
        <w:tc>
          <w:tcPr>
            <w:tcW w:type="dxa" w:w="23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Cierre de fase</w:t>
            </w:r>
          </w:p>
        </w:tc>
        <w:tc>
          <w:tcPr>
            <w:tcW w:type="dxa" w:w="1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Al terminar cada fase técnica</w:t>
            </w:r>
          </w:p>
        </w:tc>
        <w:tc>
          <w:tcPr>
            <w:tcW w:type="dxa" w:w="25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Líder saliente y líder entrante</w:t>
            </w:r>
          </w:p>
        </w:tc>
        <w:tc>
          <w:tcPr>
            <w:tcW w:type="dxa" w:w="35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Transferir el contexto. Salida: acta de cierre de fase.</w:t>
            </w:r>
          </w:p>
        </w:tc>
      </w:tr>
    </w:tbl>
    <w:p>
      <w:r>
        <w:br w:type="page"/>
      </w:r>
    </w:p>
    <w:p>
      <w:pPr>
        <w:pStyle w:val="Heading1"/>
        <w:spacing w:after="160" w:before="320"/>
      </w:pPr>
      <w:r>
        <w:rPr>
          <w:rFonts w:ascii="Calibri" w:cs="Calibri" w:eastAsia="Calibri" w:hAnsi="Calibri"/>
          <w:b/>
          <w:bCs/>
          <w:color w:val="1F4E79"/>
          <w:sz w:val="30"/>
          <w:szCs w:val="30"/>
        </w:rPr>
        <w:t xml:space="preserve">6. Artefactos del esquema</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1300"/>
        <w:gridCol w:w="2700"/>
        <w:gridCol w:w="3080"/>
      </w:tblGrid>
      <w:tr>
        <w:trPr>
          <w:tblHeader/>
        </w:trPr>
        <w:tc>
          <w:tcPr>
            <w:tcW w:type="dxa" w:w="30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Artefacto</w:t>
            </w:r>
          </w:p>
        </w:tc>
        <w:tc>
          <w:tcPr>
            <w:tcW w:type="dxa" w:w="13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Capa</w:t>
            </w:r>
          </w:p>
        </w:tc>
        <w:tc>
          <w:tcPr>
            <w:tcW w:type="dxa" w:w="27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Responsable de mantenerlo</w:t>
            </w:r>
          </w:p>
        </w:tc>
        <w:tc>
          <w:tcPr>
            <w:tcW w:type="dxa" w:w="30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Frecuencia de actualización</w:t>
            </w:r>
          </w:p>
        </w:tc>
      </w:tr>
      <w:tr>
        <w:tc>
          <w:tcPr>
            <w:tcW w:type="dxa" w:w="3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Acta de constitución del proyecto</w:t>
            </w:r>
          </w:p>
        </w:tc>
        <w:tc>
          <w:tcPr>
            <w:tcW w:type="dxa" w:w="13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Predictiva</w:t>
            </w:r>
          </w:p>
        </w:tc>
        <w:tc>
          <w:tcPr>
            <w:tcW w:type="dxa" w:w="2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w:t>
            </w:r>
          </w:p>
        </w:tc>
        <w:tc>
          <w:tcPr>
            <w:tcW w:type="dxa" w:w="3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Al inicio; se modifica solo por control de cambios.</w:t>
            </w:r>
          </w:p>
        </w:tc>
      </w:tr>
      <w:tr>
        <w:tc>
          <w:tcPr>
            <w:tcW w:type="dxa" w:w="3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Cronograma con línea base</w:t>
            </w:r>
          </w:p>
        </w:tc>
        <w:tc>
          <w:tcPr>
            <w:tcW w:type="dxa" w:w="13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Predictiva</w:t>
            </w:r>
          </w:p>
        </w:tc>
        <w:tc>
          <w:tcPr>
            <w:tcW w:type="dxa" w:w="2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w:t>
            </w:r>
          </w:p>
        </w:tc>
        <w:tc>
          <w:tcPr>
            <w:tcW w:type="dxa" w:w="3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Quincenal (avance) y por control de cambios (línea base).</w:t>
            </w:r>
          </w:p>
        </w:tc>
      </w:tr>
      <w:tr>
        <w:tc>
          <w:tcPr>
            <w:tcW w:type="dxa" w:w="3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Presupuesto y tabla de costos unitarios</w:t>
            </w:r>
          </w:p>
        </w:tc>
        <w:tc>
          <w:tcPr>
            <w:tcW w:type="dxa" w:w="13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Predictiva</w:t>
            </w:r>
          </w:p>
        </w:tc>
        <w:tc>
          <w:tcPr>
            <w:tcW w:type="dxa" w:w="2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Marlon Andres Campo</w:t>
            </w:r>
          </w:p>
        </w:tc>
        <w:tc>
          <w:tcPr>
            <w:tcW w:type="dxa" w:w="3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Quincenal.</w:t>
            </w:r>
          </w:p>
        </w:tc>
      </w:tr>
      <w:tr>
        <w:tc>
          <w:tcPr>
            <w:tcW w:type="dxa" w:w="3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Matriz de riesgos</w:t>
            </w:r>
          </w:p>
        </w:tc>
        <w:tc>
          <w:tcPr>
            <w:tcW w:type="dxa" w:w="13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Predictiva</w:t>
            </w:r>
          </w:p>
        </w:tc>
        <w:tc>
          <w:tcPr>
            <w:tcW w:type="dxa" w:w="2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w:t>
            </w:r>
          </w:p>
        </w:tc>
        <w:tc>
          <w:tcPr>
            <w:tcW w:type="dxa" w:w="3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Cada dos semanas, obligatorio.</w:t>
            </w:r>
          </w:p>
        </w:tc>
      </w:tr>
      <w:tr>
        <w:tc>
          <w:tcPr>
            <w:tcW w:type="dxa" w:w="3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Actas de cierre de fase</w:t>
            </w:r>
          </w:p>
        </w:tc>
        <w:tc>
          <w:tcPr>
            <w:tcW w:type="dxa" w:w="13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Predictiva</w:t>
            </w:r>
          </w:p>
        </w:tc>
        <w:tc>
          <w:tcPr>
            <w:tcW w:type="dxa" w:w="2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Líder de cada fase</w:t>
            </w:r>
          </w:p>
        </w:tc>
        <w:tc>
          <w:tcPr>
            <w:tcW w:type="dxa" w:w="3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Al cierre de cada fase técnica.</w:t>
            </w:r>
          </w:p>
        </w:tc>
      </w:tr>
      <w:tr>
        <w:tc>
          <w:tcPr>
            <w:tcW w:type="dxa" w:w="3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Backlog de producto priorizado</w:t>
            </w:r>
          </w:p>
        </w:tc>
        <w:tc>
          <w:tcPr>
            <w:tcW w:type="dxa" w:w="13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Iterativa</w:t>
            </w:r>
          </w:p>
        </w:tc>
        <w:tc>
          <w:tcPr>
            <w:tcW w:type="dxa" w:w="2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w:t>
            </w:r>
          </w:p>
        </w:tc>
        <w:tc>
          <w:tcPr>
            <w:tcW w:type="dxa" w:w="3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Al cierre de cada sprint.</w:t>
            </w:r>
          </w:p>
        </w:tc>
      </w:tr>
      <w:tr>
        <w:tc>
          <w:tcPr>
            <w:tcW w:type="dxa" w:w="3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Sprint backlog</w:t>
            </w:r>
          </w:p>
        </w:tc>
        <w:tc>
          <w:tcPr>
            <w:tcW w:type="dxa" w:w="13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Iterativa</w:t>
            </w:r>
          </w:p>
        </w:tc>
        <w:tc>
          <w:tcPr>
            <w:tcW w:type="dxa" w:w="2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Líder de la fase en curso</w:t>
            </w:r>
          </w:p>
        </w:tc>
        <w:tc>
          <w:tcPr>
            <w:tcW w:type="dxa" w:w="3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Al inicio y durante cada sprint.</w:t>
            </w:r>
          </w:p>
        </w:tc>
      </w:tr>
      <w:tr>
        <w:tc>
          <w:tcPr>
            <w:tcW w:type="dxa" w:w="3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Historias de usuario con criterios de aceptación</w:t>
            </w:r>
          </w:p>
        </w:tc>
        <w:tc>
          <w:tcPr>
            <w:tcW w:type="dxa" w:w="13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Iterativa</w:t>
            </w:r>
          </w:p>
        </w:tc>
        <w:tc>
          <w:tcPr>
            <w:tcW w:type="dxa" w:w="2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w:t>
            </w:r>
          </w:p>
        </w:tc>
        <w:tc>
          <w:tcPr>
            <w:tcW w:type="dxa" w:w="3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Continua durante Análisis; refinamiento posterior.</w:t>
            </w:r>
          </w:p>
        </w:tc>
      </w:tr>
      <w:tr>
        <w:tc>
          <w:tcPr>
            <w:tcW w:type="dxa" w:w="3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Bitácora del equipo</w:t>
            </w:r>
          </w:p>
        </w:tc>
        <w:tc>
          <w:tcPr>
            <w:tcW w:type="dxa" w:w="13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Transversal</w:t>
            </w:r>
          </w:p>
        </w:tc>
        <w:tc>
          <w:tcPr>
            <w:tcW w:type="dxa" w:w="27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David Mauricio Torres</w:t>
            </w:r>
          </w:p>
        </w:tc>
        <w:tc>
          <w:tcPr>
            <w:tcW w:type="dxa" w:w="30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Continua.</w:t>
            </w:r>
          </w:p>
        </w:tc>
      </w:tr>
      <w:tr>
        <w:tc>
          <w:tcPr>
            <w:tcW w:type="dxa" w:w="30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Reportes de seguimiento</w:t>
            </w:r>
          </w:p>
        </w:tc>
        <w:tc>
          <w:tcPr>
            <w:tcW w:type="dxa" w:w="13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Transversal</w:t>
            </w:r>
          </w:p>
        </w:tc>
        <w:tc>
          <w:tcPr>
            <w:tcW w:type="dxa" w:w="27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Marlon Andres Campo</w:t>
            </w:r>
          </w:p>
        </w:tc>
        <w:tc>
          <w:tcPr>
            <w:tcW w:type="dxa" w:w="30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En cada uno de los tres cortes.</w:t>
            </w:r>
          </w:p>
        </w:tc>
      </w:tr>
    </w:tbl>
    <w:p>
      <w:pPr>
        <w:pStyle w:val="Heading1"/>
        <w:spacing w:after="160" w:before="320"/>
      </w:pPr>
      <w:r>
        <w:rPr>
          <w:rFonts w:ascii="Calibri" w:cs="Calibri" w:eastAsia="Calibri" w:hAnsi="Calibri"/>
          <w:b/>
          <w:bCs/>
          <w:color w:val="1F4E79"/>
          <w:sz w:val="30"/>
          <w:szCs w:val="30"/>
        </w:rPr>
        <w:t xml:space="preserve">7. Gestión de las situaciones caóticas simuladas</w:t>
      </w:r>
    </w:p>
    <w:p>
      <w:pPr>
        <w:spacing w:after="120" w:line="276"/>
        <w:jc w:val="both"/>
      </w:pPr>
      <w:r>
        <w:rPr>
          <w:rFonts w:ascii="Calibri" w:cs="Calibri" w:eastAsia="Calibri" w:hAnsi="Calibri"/>
          <w:b w:val="false"/>
          <w:bCs w:val="false"/>
          <w:i w:val="false"/>
          <w:iCs w:val="false"/>
          <w:color w:val="000000"/>
          <w:sz w:val="22"/>
          <w:szCs w:val="22"/>
        </w:rPr>
        <w:t xml:space="preserve">El numeral 2.8 del documento del caso advierte que el docente podrá introducir cambios inesperados de alcance, recortes presupuestales, cliente inconforme, requerimientos urgentes, conflictos internos, retrasos y fallos críticos en pruebas. El esquema híbrido define de antemano el protocolo de respuesta, de modo que la reacción del equipo sea una decisión documentada y no una improvisación:</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480"/>
      </w:tblGrid>
      <w:tr>
        <w:trPr>
          <w:tblHeader/>
        </w:trPr>
        <w:tc>
          <w:tcPr>
            <w:tcW w:type="dxa" w:w="26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Evento</w:t>
            </w:r>
          </w:p>
        </w:tc>
        <w:tc>
          <w:tcPr>
            <w:tcW w:type="dxa" w:w="74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Respuesta definida por el esquema</w:t>
            </w:r>
          </w:p>
        </w:tc>
      </w:tr>
      <w:tr>
        <w:tc>
          <w:tcPr>
            <w:tcW w:type="dxa" w:w="2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Cambio inesperado de alcance</w:t>
            </w:r>
          </w:p>
        </w:tc>
        <w:tc>
          <w:tcPr>
            <w:tcW w:type="dxa" w:w="74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Ingresa por control de cambios. Se cuantifica el impacto en tiempo y costo y se negocia un intercambio: una historia nueva entra solo si sale otra de esfuerzo equivalente.</w:t>
            </w:r>
          </w:p>
        </w:tc>
      </w:tr>
      <w:tr>
        <w:tc>
          <w:tcPr>
            <w:tcW w:type="dxa" w:w="2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Recorte presupuestal</w:t>
            </w:r>
          </w:p>
        </w:tc>
        <w:tc>
          <w:tcPr>
            <w:tcW w:type="dxa" w:w="74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Re-planeación inmediata priorizando únicamente las historias 'Must have'. Se sustituye consultoría externa por horas internas y se documenta el nuevo alcance.</w:t>
            </w:r>
          </w:p>
        </w:tc>
      </w:tr>
      <w:tr>
        <w:tc>
          <w:tcPr>
            <w:tcW w:type="dxa" w:w="2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Cliente inconforme</w:t>
            </w:r>
          </w:p>
        </w:tc>
        <w:tc>
          <w:tcPr>
            <w:tcW w:type="dxa" w:w="74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Reunión extraordinaria de realineación a cargo del líder de Relación con el Cliente, con acta de acuerdos y plan de recuperación con fechas comprometidas.</w:t>
            </w:r>
          </w:p>
        </w:tc>
      </w:tr>
      <w:tr>
        <w:tc>
          <w:tcPr>
            <w:tcW w:type="dxa" w:w="2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Requerimiento urgente</w:t>
            </w:r>
          </w:p>
        </w:tc>
        <w:tc>
          <w:tcPr>
            <w:tcW w:type="dxa" w:w="74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Política de sprint protegido: lo urgente entra al sprint siguiente, salvo decisión expresa del patrocinador. Si se acepta, se retira una historia equivalente.</w:t>
            </w:r>
          </w:p>
        </w:tc>
      </w:tr>
      <w:tr>
        <w:tc>
          <w:tcPr>
            <w:tcW w:type="dxa" w:w="2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Conflicto interno</w:t>
            </w:r>
          </w:p>
        </w:tc>
        <w:tc>
          <w:tcPr>
            <w:tcW w:type="dxa" w:w="74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Lo resuelve el líder de la fase en curso. Si persiste, se escala al gerente de proyecto y se registra el acuerdo en la bitácora.</w:t>
            </w:r>
          </w:p>
        </w:tc>
      </w:tr>
      <w:tr>
        <w:tc>
          <w:tcPr>
            <w:tcW w:type="dxa" w:w="2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Retraso</w:t>
            </w:r>
          </w:p>
        </w:tc>
        <w:tc>
          <w:tcPr>
            <w:tcW w:type="dxa" w:w="74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Se activa el solapamiento planificado entre fases y, si es insuficiente, se consumen las holguras de contingencia X-01 y X-02 del cronograma.</w:t>
            </w:r>
          </w:p>
        </w:tc>
      </w:tr>
      <w:tr>
        <w:tc>
          <w:tcPr>
            <w:tcW w:type="dxa" w:w="2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Fallo crítico en pruebas</w:t>
            </w:r>
          </w:p>
        </w:tc>
        <w:tc>
          <w:tcPr>
            <w:tcW w:type="dxa" w:w="74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Se reduce el componente afectado a su versión mínima validada y se documentan las funciones diferidas como alcance futuro.</w:t>
            </w:r>
          </w:p>
        </w:tc>
      </w:tr>
    </w:tbl>
    <w:p>
      <w:r>
        <w:br w:type="page"/>
      </w:r>
    </w:p>
    <w:p>
      <w:pPr>
        <w:pStyle w:val="Heading1"/>
        <w:spacing w:after="160" w:before="320"/>
      </w:pPr>
      <w:r>
        <w:rPr>
          <w:rFonts w:ascii="Calibri" w:cs="Calibri" w:eastAsia="Calibri" w:hAnsi="Calibri"/>
          <w:b/>
          <w:bCs/>
          <w:color w:val="1F4E79"/>
          <w:sz w:val="30"/>
          <w:szCs w:val="30"/>
        </w:rPr>
        <w:t xml:space="preserve">8. Definición de terminado</w:t>
      </w:r>
    </w:p>
    <w:p>
      <w:pPr>
        <w:spacing w:after="120" w:line="276"/>
        <w:jc w:val="both"/>
      </w:pPr>
      <w:r>
        <w:rPr>
          <w:rFonts w:ascii="Calibri" w:cs="Calibri" w:eastAsia="Calibri" w:hAnsi="Calibri"/>
          <w:b w:val="false"/>
          <w:bCs w:val="false"/>
          <w:i w:val="false"/>
          <w:iCs w:val="false"/>
          <w:color w:val="000000"/>
          <w:sz w:val="22"/>
          <w:szCs w:val="22"/>
        </w:rPr>
        <w:t xml:space="preserve">Una historia de usuario solo se cuenta como completada, para efectos del indicador de cumplimiento de sprint, si satisface la totalidad de las siguientes condiciones:</w:t>
      </w:r>
    </w:p>
    <w:p>
      <w:pPr>
        <w:pStyle w:val="ListParagraph"/>
        <w:numPr>
          <w:ilvl w:val="0"/>
          <w:numId w:val="2"/>
        </w:numPr>
        <w:spacing w:after="80" w:line="276"/>
        <w:jc w:val="both"/>
      </w:pPr>
      <w:r>
        <w:rPr>
          <w:rFonts w:ascii="Calibri" w:cs="Calibri" w:eastAsia="Calibri" w:hAnsi="Calibri"/>
          <w:sz w:val="22"/>
          <w:szCs w:val="22"/>
        </w:rPr>
        <w:t xml:space="preserve">Cumple todos sus criterios de aceptación, verificados por un integrante distinto de quien la construyó.</w:t>
      </w:r>
    </w:p>
    <w:p>
      <w:pPr>
        <w:pStyle w:val="ListParagraph"/>
        <w:numPr>
          <w:ilvl w:val="0"/>
          <w:numId w:val="2"/>
        </w:numPr>
        <w:spacing w:after="80" w:line="276"/>
        <w:jc w:val="both"/>
      </w:pPr>
      <w:r>
        <w:rPr>
          <w:rFonts w:ascii="Calibri" w:cs="Calibri" w:eastAsia="Calibri" w:hAnsi="Calibri"/>
          <w:sz w:val="22"/>
          <w:szCs w:val="22"/>
        </w:rPr>
        <w:t xml:space="preserve">Las pantallas asociadas están navegables dentro del prototipo, no solo diseñadas de forma estática.</w:t>
      </w:r>
    </w:p>
    <w:p>
      <w:pPr>
        <w:pStyle w:val="ListParagraph"/>
        <w:numPr>
          <w:ilvl w:val="0"/>
          <w:numId w:val="2"/>
        </w:numPr>
        <w:spacing w:after="80" w:line="276"/>
        <w:jc w:val="both"/>
      </w:pPr>
      <w:r>
        <w:rPr>
          <w:rFonts w:ascii="Calibri" w:cs="Calibri" w:eastAsia="Calibri" w:hAnsi="Calibri"/>
          <w:sz w:val="22"/>
          <w:szCs w:val="22"/>
        </w:rPr>
        <w:t xml:space="preserve">Los textos contractuales que contiene fueron revisados y aprobados por el área legal, cuando aplica.</w:t>
      </w:r>
    </w:p>
    <w:p>
      <w:pPr>
        <w:pStyle w:val="ListParagraph"/>
        <w:numPr>
          <w:ilvl w:val="0"/>
          <w:numId w:val="2"/>
        </w:numPr>
        <w:spacing w:after="80" w:line="276"/>
        <w:jc w:val="both"/>
      </w:pPr>
      <w:r>
        <w:rPr>
          <w:rFonts w:ascii="Calibri" w:cs="Calibri" w:eastAsia="Calibri" w:hAnsi="Calibri"/>
          <w:sz w:val="22"/>
          <w:szCs w:val="22"/>
        </w:rPr>
        <w:t xml:space="preserve">No introduce información que altere o exponga el modelo actuarial ni las tarifas reales, cuando aplica.</w:t>
      </w:r>
    </w:p>
    <w:p>
      <w:pPr>
        <w:pStyle w:val="ListParagraph"/>
        <w:numPr>
          <w:ilvl w:val="0"/>
          <w:numId w:val="2"/>
        </w:numPr>
        <w:spacing w:after="80" w:line="276"/>
        <w:jc w:val="both"/>
      </w:pPr>
      <w:r>
        <w:rPr>
          <w:rFonts w:ascii="Calibri" w:cs="Calibri" w:eastAsia="Calibri" w:hAnsi="Calibri"/>
          <w:sz w:val="22"/>
          <w:szCs w:val="22"/>
        </w:rPr>
        <w:t xml:space="preserve">Está documentada en el repositorio, con su versión registrada.</w:t>
      </w:r>
    </w:p>
    <w:p>
      <w:pPr>
        <w:pStyle w:val="ListParagraph"/>
        <w:numPr>
          <w:ilvl w:val="0"/>
          <w:numId w:val="2"/>
        </w:numPr>
        <w:spacing w:after="80" w:line="276"/>
        <w:jc w:val="both"/>
      </w:pPr>
      <w:r>
        <w:rPr>
          <w:rFonts w:ascii="Calibri" w:cs="Calibri" w:eastAsia="Calibri" w:hAnsi="Calibri"/>
          <w:sz w:val="22"/>
          <w:szCs w:val="22"/>
        </w:rPr>
        <w:t xml:space="preserve">Fue presentada al líder de la fase en curso y aceptada por él.</w:t>
      </w:r>
    </w:p>
    <w:p>
      <w:pPr>
        <w:spacing w:after="160"/>
      </w:pPr>
    </w:p>
    <w:p>
      <w:pPr>
        <w:spacing w:after="120" w:line="276"/>
        <w:jc w:val="both"/>
      </w:pPr>
      <w:r>
        <w:rPr>
          <w:rFonts w:ascii="Calibri" w:cs="Calibri" w:eastAsia="Calibri" w:hAnsi="Calibri"/>
          <w:b/>
          <w:bCs/>
          <w:i w:val="false"/>
          <w:iCs w:val="false"/>
          <w:color w:val="000000"/>
          <w:sz w:val="22"/>
          <w:szCs w:val="22"/>
        </w:rPr>
        <w:t xml:space="preserve">Importancia de esta definición: </w:t>
      </w:r>
      <w:r>
        <w:rPr>
          <w:rFonts w:ascii="Calibri" w:cs="Calibri" w:eastAsia="Calibri" w:hAnsi="Calibri"/>
          <w:b w:val="false"/>
          <w:bCs w:val="false"/>
          <w:i w:val="false"/>
          <w:iCs w:val="false"/>
          <w:color w:val="000000"/>
          <w:sz w:val="22"/>
          <w:szCs w:val="22"/>
        </w:rPr>
        <w:t xml:space="preserve">sin un criterio común de terminado, el indicador de cumplimiento de sprint pierde significado, porque cada integrante podría declarar completado lo que considere suficiente. Esta definición es la que hace auditable el indicador 1.</w:t>
      </w:r>
    </w:p>
    <w:p>
      <w:pPr>
        <w:pStyle w:val="Heading1"/>
        <w:spacing w:after="160" w:before="320"/>
      </w:pPr>
      <w:r>
        <w:rPr>
          <w:rFonts w:ascii="Calibri" w:cs="Calibri" w:eastAsia="Calibri" w:hAnsi="Calibri"/>
          <w:b/>
          <w:bCs/>
          <w:color w:val="1F4E79"/>
          <w:sz w:val="30"/>
          <w:szCs w:val="30"/>
        </w:rPr>
        <w:t xml:space="preserve">9. Criterios de éxito del esquema metodológico</w:t>
      </w:r>
    </w:p>
    <w:p>
      <w:pPr>
        <w:spacing w:after="120" w:line="276"/>
        <w:jc w:val="both"/>
      </w:pPr>
      <w:r>
        <w:rPr>
          <w:rFonts w:ascii="Calibri" w:cs="Calibri" w:eastAsia="Calibri" w:hAnsi="Calibri"/>
          <w:b w:val="false"/>
          <w:bCs w:val="false"/>
          <w:i w:val="false"/>
          <w:iCs w:val="false"/>
          <w:color w:val="000000"/>
          <w:sz w:val="22"/>
          <w:szCs w:val="22"/>
        </w:rPr>
        <w:t xml:space="preserve">El esquema se considerará adecuado si, al cierre del proyecto, se verifica que:</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6600"/>
        <w:gridCol w:w="3480"/>
      </w:tblGrid>
      <w:tr>
        <w:trPr>
          <w:tblHeader/>
        </w:trPr>
        <w:tc>
          <w:tcPr>
            <w:tcW w:type="dxa" w:w="66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Criterio</w:t>
            </w:r>
          </w:p>
        </w:tc>
        <w:tc>
          <w:tcPr>
            <w:tcW w:type="dxa" w:w="34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Umbral</w:t>
            </w:r>
          </w:p>
        </w:tc>
      </w:tr>
      <w:tr>
        <w:tc>
          <w:tcPr>
            <w:tcW w:type="dxa" w:w="6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El cumplimiento de sprint se mantuvo por encima de la meta en los tres cortes.</w:t>
            </w:r>
          </w:p>
        </w:tc>
        <w:tc>
          <w:tcPr>
            <w:tcW w:type="dxa" w:w="34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Igual o superior a 80% en cada corte.</w:t>
            </w:r>
          </w:p>
        </w:tc>
      </w:tr>
      <w:tr>
        <w:tc>
          <w:tcPr>
            <w:tcW w:type="dxa" w:w="6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La desviación presupuestal se mantuvo dentro del rango permitido.</w:t>
            </w:r>
          </w:p>
        </w:tc>
        <w:tc>
          <w:tcPr>
            <w:tcW w:type="dxa" w:w="34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Entre -10% y +10% en cada corte.</w:t>
            </w:r>
          </w:p>
        </w:tc>
      </w:tr>
      <w:tr>
        <w:tc>
          <w:tcPr>
            <w:tcW w:type="dxa" w:w="6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Los cambios de alcance se tramitaron por el procedimiento formal.</w:t>
            </w:r>
          </w:p>
        </w:tc>
        <w:tc>
          <w:tcPr>
            <w:tcW w:type="dxa" w:w="34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100% de las solicitudes con análisis de impacto documentado.</w:t>
            </w:r>
          </w:p>
        </w:tc>
      </w:tr>
      <w:tr>
        <w:tc>
          <w:tcPr>
            <w:tcW w:type="dxa" w:w="6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Cada fase técnica cerró con acta de transferencia al líder entrante.</w:t>
            </w:r>
          </w:p>
        </w:tc>
        <w:tc>
          <w:tcPr>
            <w:tcW w:type="dxa" w:w="34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5 actas de cierre de fase.</w:t>
            </w:r>
          </w:p>
        </w:tc>
      </w:tr>
      <w:tr>
        <w:tc>
          <w:tcPr>
            <w:tcW w:type="dxa" w:w="6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La matriz de riesgos se actualizó con la periodicidad exigida.</w:t>
            </w:r>
          </w:p>
        </w:tc>
        <w:tc>
          <w:tcPr>
            <w:tcW w:type="dxa" w:w="34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Una versión por quincena.</w:t>
            </w:r>
          </w:p>
        </w:tc>
      </w:tr>
      <w:tr>
        <w:tc>
          <w:tcPr>
            <w:tcW w:type="dxa" w:w="660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Los riesgos materializados quedaron documentados como incidentes.</w:t>
            </w:r>
          </w:p>
        </w:tc>
        <w:tc>
          <w:tcPr>
            <w:tcW w:type="dxa" w:w="3480"/>
            <w:gridSpan w:val="1"/>
            <w:shd w:fill="F2F2F2" w:color="auto" w:val="clear"/>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100% de los riesgos materializados con registro de tratamiento.</w:t>
            </w:r>
          </w:p>
        </w:tc>
      </w:tr>
    </w:tbl>
    <w:p>
      <w:pPr>
        <w:spacing w:after="320"/>
      </w:pPr>
    </w:p>
    <w:p>
      <w:pPr>
        <w:pStyle w:val="Heading2"/>
        <w:spacing w:after="120" w:before="240"/>
      </w:pPr>
      <w:r>
        <w:rPr>
          <w:rFonts w:ascii="Calibri" w:cs="Calibri" w:eastAsia="Calibri" w:hAnsi="Calibri"/>
          <w:b/>
          <w:bCs/>
          <w:color w:val="1F4E79"/>
          <w:sz w:val="25"/>
          <w:szCs w:val="25"/>
        </w:rPr>
        <w:t xml:space="preserve">Control de versiones del documento</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1600"/>
        <w:gridCol w:w="3000"/>
        <w:gridCol w:w="4280"/>
      </w:tblGrid>
      <w:tr>
        <w:trPr>
          <w:tblHeader/>
        </w:trPr>
        <w:tc>
          <w:tcPr>
            <w:tcW w:type="dxa" w:w="12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Versión</w:t>
            </w:r>
          </w:p>
        </w:tc>
        <w:tc>
          <w:tcPr>
            <w:tcW w:type="dxa" w:w="16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Fecha</w:t>
            </w:r>
          </w:p>
        </w:tc>
        <w:tc>
          <w:tcPr>
            <w:tcW w:type="dxa" w:w="300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Autor</w:t>
            </w:r>
          </w:p>
        </w:tc>
        <w:tc>
          <w:tcPr>
            <w:tcW w:type="dxa" w:w="4280"/>
            <w:gridSpan w:val="1"/>
            <w:shd w:fill="1F4E79" w:color="auto" w:val="clear"/>
            <w:tcMar>
              <w:top w:type="dxa" w:w="60"/>
              <w:left w:type="dxa" w:w="100"/>
              <w:bottom w:type="dxa" w:w="60"/>
              <w:right w:type="dxa" w:w="100"/>
            </w:tcMar>
            <w:vAlign w:val="center"/>
          </w:tcPr>
          <w:p>
            <w:pPr>
              <w:spacing w:after="40" w:line="252"/>
              <w:jc w:val="center"/>
            </w:pPr>
            <w:r>
              <w:rPr>
                <w:rFonts w:ascii="Calibri" w:cs="Calibri" w:eastAsia="Calibri" w:hAnsi="Calibri"/>
                <w:b/>
                <w:bCs/>
                <w:color w:val="FFFFFF"/>
                <w:sz w:val="20"/>
                <w:szCs w:val="20"/>
              </w:rPr>
              <w:t xml:space="preserve">Descripción del cambio</w:t>
            </w:r>
          </w:p>
        </w:tc>
      </w:tr>
      <w:tr>
        <w:tc>
          <w:tcPr>
            <w:tcW w:type="dxa" w:w="12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w:t>
            </w:r>
          </w:p>
        </w:tc>
        <w:tc>
          <w:tcPr>
            <w:tcW w:type="dxa" w:w="16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10/09/2026</w:t>
            </w:r>
          </w:p>
        </w:tc>
        <w:tc>
          <w:tcPr>
            <w:tcW w:type="dxa" w:w="300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Santiago Arias Mosquera</w:t>
            </w:r>
          </w:p>
        </w:tc>
        <w:tc>
          <w:tcPr>
            <w:tcW w:type="dxa" w:w="4280"/>
            <w:gridSpan w:val="1"/>
            <w:tcMar>
              <w:top w:type="dxa" w:w="60"/>
              <w:left w:type="dxa" w:w="100"/>
              <w:bottom w:type="dxa" w:w="60"/>
              <w:right w:type="dxa" w:w="100"/>
            </w:tcMar>
            <w:vAlign w:val="center"/>
          </w:tcPr>
          <w:p>
            <w:pPr>
              <w:spacing w:after="40" w:line="252"/>
              <w:jc w:val="left"/>
            </w:pPr>
            <w:r>
              <w:rPr>
                <w:rFonts w:ascii="Calibri" w:cs="Calibri" w:eastAsia="Calibri" w:hAnsi="Calibri"/>
                <w:b w:val="false"/>
                <w:bCs w:val="false"/>
                <w:color w:val="000000"/>
                <w:sz w:val="20"/>
                <w:szCs w:val="20"/>
              </w:rPr>
              <w:t xml:space="preserve">Versión inicial aprobada al cierre de la fase de Planeación.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Caso 10 - Monokera  |  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60"/>
      <w:jc w:val="right"/>
    </w:pPr>
    <w:r>
      <w:rPr>
        <w:rFonts w:ascii="Calibri" w:cs="Calibri" w:eastAsia="Calibri" w:hAnsi="Calibri"/>
        <w:color w:val="808080"/>
        <w:sz w:val="16"/>
        <w:szCs w:val="16"/>
      </w:rPr>
      <w:t xml:space="preserve">Esquema Metodológico  |  Caso 10 - Monokera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Esquema Metodológico - Caso 10 Monokera</dc:title>
  <dc:creator>Equipo Caso 10 - Monokera</dc:creator>
  <dc:description>Selección y justificación del esquema metodológico del proyecto integrador</dc:description>
  <cp:lastModifiedBy>Un-named</cp:lastModifiedBy>
  <cp:revision>1</cp:revision>
  <dcterms:created xsi:type="dcterms:W3CDTF">2026-10-16T00:18:07.423Z</dcterms:created>
  <dcterms:modified xsi:type="dcterms:W3CDTF">2026-10-16T00:18:07.423Z</dcterms:modified>
</cp:coreProperties>
</file>

<file path=docProps/custom.xml><?xml version="1.0" encoding="utf-8"?>
<Properties xmlns="http://schemas.openxmlformats.org/officeDocument/2006/custom-properties" xmlns:vt="http://schemas.openxmlformats.org/officeDocument/2006/docPropsVTypes"/>
</file>