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Calibri" w:cs="Calibri" w:eastAsia="Calibri" w:hAnsi="Calibri"/>
          <w:b/>
          <w:bCs/>
          <w:color w:val="1F4E79"/>
          <w:sz w:val="24"/>
          <w:szCs w:val="24"/>
        </w:rPr>
        <w:t xml:space="preserve">INSTITUCIÓN UNIVERSITARIA EAM</w:t>
      </w:r>
    </w:p>
    <w:p>
      <w:pPr>
        <w:spacing w:after="600"/>
        <w:jc w:val="center"/>
      </w:pPr>
      <w:r>
        <w:rPr>
          <w:rFonts w:ascii="Calibri" w:cs="Calibri" w:eastAsia="Calibri" w:hAnsi="Calibri"/>
          <w:color w:val="595959"/>
          <w:sz w:val="20"/>
          <w:szCs w:val="20"/>
        </w:rPr>
        <w:t xml:space="preserve">Programa de Ingeniería de Software  |  Desarrollo en Equipo  |  Semestre VIII</w:t>
      </w:r>
    </w:p>
    <w:p>
      <w:pPr>
        <w:spacing w:after="160"/>
        <w:jc w:val="center"/>
      </w:pPr>
      <w:r>
        <w:rPr>
          <w:rFonts w:ascii="Calibri" w:cs="Calibri" w:eastAsia="Calibri" w:hAnsi="Calibri"/>
          <w:b/>
          <w:bCs/>
          <w:color w:val="1F4E79"/>
          <w:sz w:val="44"/>
          <w:szCs w:val="44"/>
        </w:rPr>
        <w:t xml:space="preserve">ACTA DE CONSTITUCIÓN DEL PROYECTO</w:t>
      </w:r>
    </w:p>
    <w:p>
      <w:pPr>
        <w:spacing w:after="800"/>
        <w:jc w:val="center"/>
      </w:pPr>
      <w:r>
        <w:rPr>
          <w:rFonts w:ascii="Calibri" w:cs="Calibri" w:eastAsia="Calibri" w:hAnsi="Calibri"/>
          <w:color w:val="404040"/>
          <w:sz w:val="26"/>
          <w:szCs w:val="26"/>
        </w:rPr>
        <w:t xml:space="preserve">Aplicación movil de gestión y seguimiento de pólizas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680"/>
      </w:tblGrid>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Caso asignado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Caso 10 - Monokera</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Empresa cliente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Monokera S.A.S. - Sector InsurTech / Insurance-as-a-Service</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Código del proyecto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PI-2026-2-C10-MONOKERA</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Versión del documento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Fecha de elaboración</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 de septiembre de 2026</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Fase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Administrativa: Planeación</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Elaborado por</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 - Gerente de Proyecto</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Docente responsable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Fabian Danilo Pérez Díaz</w:t>
            </w:r>
          </w:p>
        </w:tc>
      </w:tr>
    </w:tbl>
    <w:p>
      <w:r>
        <w:br w:type="page"/>
      </w:r>
    </w:p>
    <w:p>
      <w:pPr>
        <w:pStyle w:val="Heading1"/>
        <w:spacing w:after="160" w:before="320"/>
      </w:pPr>
      <w:r>
        <w:rPr>
          <w:rFonts w:ascii="Calibri" w:cs="Calibri" w:eastAsia="Calibri" w:hAnsi="Calibri"/>
          <w:b/>
          <w:bCs/>
          <w:color w:val="1F4E79"/>
          <w:sz w:val="30"/>
          <w:szCs w:val="30"/>
        </w:rPr>
        <w:t xml:space="preserve">1. Información general del proyecto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80"/>
      </w:tblGrid>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Nombre del proyecto</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Prototipo navegable de alta fidelidad de la aplicación movil complementaria de gestión de pólizas de Monokera</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Patrocinador</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Dirección General de Monokera</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Gerente de proyecto</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Fecha de inicio</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28 de agosto de 2026</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Fecha de entrega final</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19 de noviembre de 2026</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Duración total</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12 semanas (6 quincenas de seguimiento)</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Presupuesto asignado</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$265.000.000 COP</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Desviación presupuestal máxima</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 sobre el costo planificado acumulado</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Naturaleza del producto</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Prototipo navegable de alta fidelidad. No incluye programacion en código ni integración productiva.</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Nivel de complejidad</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Medio - Alto</w:t>
            </w:r>
          </w:p>
        </w:tc>
      </w:tr>
      <w:tr>
        <w:tc>
          <w:tcPr>
            <w:tcW w:type="dxa" w:w="30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Nivel de incertidumbre</w:t>
            </w:r>
          </w:p>
        </w:tc>
        <w:tc>
          <w:tcPr>
            <w:tcW w:type="dxa" w:w="7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Medio - Alto</w:t>
            </w:r>
          </w:p>
        </w:tc>
      </w:tr>
    </w:tbl>
    <w:p>
      <w:pPr>
        <w:pStyle w:val="Heading1"/>
        <w:spacing w:after="160" w:before="320"/>
      </w:pPr>
      <w:r>
        <w:rPr>
          <w:rFonts w:ascii="Calibri" w:cs="Calibri" w:eastAsia="Calibri" w:hAnsi="Calibri"/>
          <w:b/>
          <w:bCs/>
          <w:color w:val="1F4E79"/>
          <w:sz w:val="30"/>
          <w:szCs w:val="30"/>
        </w:rPr>
        <w:t xml:space="preserve">2. Justificación y planteamiento del problema</w:t>
      </w:r>
    </w:p>
    <w:p>
      <w:pPr>
        <w:spacing w:after="120" w:line="276"/>
        <w:jc w:val="both"/>
      </w:pPr>
      <w:r>
        <w:rPr>
          <w:rFonts w:ascii="Calibri" w:cs="Calibri" w:eastAsia="Calibri" w:hAnsi="Calibri"/>
          <w:b w:val="false"/>
          <w:bCs w:val="false"/>
          <w:i w:val="false"/>
          <w:iCs w:val="false"/>
          <w:color w:val="000000"/>
          <w:sz w:val="22"/>
          <w:szCs w:val="22"/>
        </w:rPr>
        <w:t xml:space="preserve">Monokera es una startup colombiana fundada en 2020 que opera una plataforma abierta de Insurance-as-a-Service. Su propuesta de valor se sustenta en la integración via API, los seguros embebidos y la administracion end-to-end de pólizas, con operación en Colombia, Perú, Chile y Bolivia y más de un millón de pólizas emitidas.</w:t>
      </w:r>
    </w:p>
    <w:p>
      <w:pPr>
        <w:spacing w:after="120" w:line="276"/>
        <w:jc w:val="both"/>
      </w:pPr>
      <w:r>
        <w:rPr>
          <w:rFonts w:ascii="Calibri" w:cs="Calibri" w:eastAsia="Calibri" w:hAnsi="Calibri"/>
          <w:b w:val="false"/>
          <w:bCs w:val="false"/>
          <w:i w:val="false"/>
          <w:iCs w:val="false"/>
          <w:color w:val="000000"/>
          <w:sz w:val="22"/>
          <w:szCs w:val="22"/>
        </w:rPr>
        <w:t xml:space="preserve">El diagnóstico del cliente identifica que el problema no esta en la emisión ni en la activacion de las pólizas, procesos que hoy funcionan de manera eficiente, sino en la experiencia posterior a la contratación. Concretamente, la empresa reporta:</w:t>
      </w:r>
    </w:p>
    <w:p>
      <w:pPr>
        <w:pStyle w:val="ListParagraph"/>
        <w:numPr>
          <w:ilvl w:val="0"/>
          <w:numId w:val="2"/>
        </w:numPr>
        <w:spacing w:after="80" w:line="276"/>
        <w:jc w:val="both"/>
      </w:pPr>
      <w:r>
        <w:rPr>
          <w:rFonts w:ascii="Calibri" w:cs="Calibri" w:eastAsia="Calibri" w:hAnsi="Calibri"/>
          <w:sz w:val="22"/>
          <w:szCs w:val="22"/>
        </w:rPr>
        <w:t xml:space="preserve">Los asegurados no comprenden con claridad su cobertura, sus exclusiones ni la vigencia de su póliza.</w:t>
      </w:r>
    </w:p>
    <w:p>
      <w:pPr>
        <w:pStyle w:val="ListParagraph"/>
        <w:numPr>
          <w:ilvl w:val="0"/>
          <w:numId w:val="2"/>
        </w:numPr>
        <w:spacing w:after="80" w:line="276"/>
        <w:jc w:val="both"/>
      </w:pPr>
      <w:r>
        <w:rPr>
          <w:rFonts w:ascii="Calibri" w:cs="Calibri" w:eastAsia="Calibri" w:hAnsi="Calibri"/>
          <w:sz w:val="22"/>
          <w:szCs w:val="22"/>
        </w:rPr>
        <w:t xml:space="preserve">Se presentan cancelaciones por falta de alertas efectivas sobre renovación y vencimiento.</w:t>
      </w:r>
    </w:p>
    <w:p>
      <w:pPr>
        <w:pStyle w:val="ListParagraph"/>
        <w:numPr>
          <w:ilvl w:val="0"/>
          <w:numId w:val="2"/>
        </w:numPr>
        <w:spacing w:after="80" w:line="276"/>
        <w:jc w:val="both"/>
      </w:pPr>
      <w:r>
        <w:rPr>
          <w:rFonts w:ascii="Calibri" w:cs="Calibri" w:eastAsia="Calibri" w:hAnsi="Calibri"/>
          <w:sz w:val="22"/>
          <w:szCs w:val="22"/>
        </w:rPr>
        <w:t xml:space="preserve">Existe confusion sobre primas, deducibles, copagos y fechas de vigencia.</w:t>
      </w:r>
    </w:p>
    <w:p>
      <w:pPr>
        <w:pStyle w:val="ListParagraph"/>
        <w:numPr>
          <w:ilvl w:val="0"/>
          <w:numId w:val="2"/>
        </w:numPr>
        <w:spacing w:after="80" w:line="276"/>
        <w:jc w:val="both"/>
      </w:pPr>
      <w:r>
        <w:rPr>
          <w:rFonts w:ascii="Calibri" w:cs="Calibri" w:eastAsia="Calibri" w:hAnsi="Calibri"/>
          <w:sz w:val="22"/>
          <w:szCs w:val="22"/>
        </w:rPr>
        <w:t xml:space="preserve">Aumenta el número de consultas al servicio de soporte y de reclamaciones.</w:t>
      </w:r>
    </w:p>
    <w:p>
      <w:pPr>
        <w:pStyle w:val="ListParagraph"/>
        <w:numPr>
          <w:ilvl w:val="0"/>
          <w:numId w:val="2"/>
        </w:numPr>
        <w:spacing w:after="80" w:line="276"/>
        <w:jc w:val="both"/>
      </w:pPr>
      <w:r>
        <w:rPr>
          <w:rFonts w:ascii="Calibri" w:cs="Calibri" w:eastAsia="Calibri" w:hAnsi="Calibri"/>
          <w:sz w:val="22"/>
          <w:szCs w:val="22"/>
        </w:rPr>
        <w:t xml:space="preserve">Se incrementa la tasa de abandono de pólizas y de siniestros no reportados.</w:t>
      </w:r>
    </w:p>
    <w:p>
      <w:pPr>
        <w:spacing w:after="120" w:line="276"/>
        <w:jc w:val="both"/>
      </w:pPr>
      <w:r>
        <w:rPr>
          <w:rFonts w:ascii="Calibri" w:cs="Calibri" w:eastAsia="Calibri" w:hAnsi="Calibri"/>
          <w:b w:val="false"/>
          <w:bCs w:val="false"/>
          <w:i w:val="false"/>
          <w:iCs w:val="false"/>
          <w:color w:val="000000"/>
          <w:sz w:val="22"/>
          <w:szCs w:val="22"/>
        </w:rPr>
        <w:t xml:space="preserve">Este conjunto de síntomas comparte una causa comun: la información de la póliza existe y es correcta, pero no es comprensible ni esta disponible en el momento en que el asegurado la necesita. El proyecto se justifica porque el abandono de pólizas impacta directamente la retencion y la rentabilidad del canal de distribución, la claridad en la información de cobertura mejora la confianza del asegurado, y la reducción de consultas repetitivas disminuye los costos operativos del canal de soporte.</w:t>
      </w:r>
    </w:p>
    <w:p>
      <w:pPr>
        <w:pStyle w:val="Heading1"/>
        <w:spacing w:after="160" w:before="320"/>
      </w:pPr>
      <w:r>
        <w:rPr>
          <w:rFonts w:ascii="Calibri" w:cs="Calibri" w:eastAsia="Calibri" w:hAnsi="Calibri"/>
          <w:b/>
          <w:bCs/>
          <w:color w:val="1F4E79"/>
          <w:sz w:val="30"/>
          <w:szCs w:val="30"/>
        </w:rPr>
        <w:t xml:space="preserve">3. Objetivos del proyecto</w:t>
      </w:r>
    </w:p>
    <w:p>
      <w:pPr>
        <w:pStyle w:val="Heading2"/>
        <w:spacing w:after="120" w:before="240"/>
      </w:pPr>
      <w:r>
        <w:rPr>
          <w:rFonts w:ascii="Calibri" w:cs="Calibri" w:eastAsia="Calibri" w:hAnsi="Calibri"/>
          <w:b/>
          <w:bCs/>
          <w:color w:val="1F4E79"/>
          <w:sz w:val="25"/>
          <w:szCs w:val="25"/>
        </w:rPr>
        <w:t xml:space="preserve">3.1. Objetivo general</w:t>
      </w:r>
    </w:p>
    <w:p>
      <w:pPr>
        <w:spacing w:after="120" w:line="276"/>
        <w:jc w:val="both"/>
      </w:pPr>
      <w:r>
        <w:rPr>
          <w:rFonts w:ascii="Calibri" w:cs="Calibri" w:eastAsia="Calibri" w:hAnsi="Calibri"/>
          <w:b w:val="false"/>
          <w:bCs w:val="false"/>
          <w:i w:val="false"/>
          <w:iCs w:val="false"/>
          <w:color w:val="000000"/>
          <w:sz w:val="22"/>
          <w:szCs w:val="22"/>
        </w:rPr>
        <w:t xml:space="preserve">Diseñar y entregar un prototipo navegable de alta fidelidad de una aplicación movil complementaria para la gestión y el seguimiento de pólizas de seguro, que mejore la comprensión de la cobertura por parte del asegurado y contribuya a reducir la tasa de abandono posterior a la emisión, operando dentro de las restricciones normativas de la Superintendencia Financiera de Colombia y sin alterar el modelo actuarial ni las tarifas reales de Monokera.</w:t>
      </w:r>
    </w:p>
    <w:p>
      <w:pPr>
        <w:pStyle w:val="Heading2"/>
        <w:spacing w:after="120" w:before="240"/>
      </w:pPr>
      <w:r>
        <w:rPr>
          <w:rFonts w:ascii="Calibri" w:cs="Calibri" w:eastAsia="Calibri" w:hAnsi="Calibri"/>
          <w:b/>
          <w:bCs/>
          <w:color w:val="1F4E79"/>
          <w:sz w:val="25"/>
          <w:szCs w:val="25"/>
        </w:rPr>
        <w:t xml:space="preserve">3.2. Objetivos específicos</w:t>
      </w:r>
    </w:p>
    <w:p>
      <w:pPr>
        <w:pStyle w:val="ListParagraph"/>
        <w:numPr>
          <w:ilvl w:val="0"/>
          <w:numId w:val="3"/>
        </w:numPr>
        <w:spacing w:after="80" w:line="276"/>
        <w:jc w:val="both"/>
      </w:pPr>
      <w:r>
        <w:rPr>
          <w:rFonts w:ascii="Calibri" w:cs="Calibri" w:eastAsia="Calibri" w:hAnsi="Calibri"/>
          <w:sz w:val="22"/>
          <w:szCs w:val="22"/>
        </w:rPr>
        <w:t xml:space="preserve">Identificar y caracterizar los stakeholders del proyecto, documentando sus expectativas y las tensiones existentes entre las áreas legal, actuarial y comercial.</w:t>
      </w:r>
    </w:p>
    <w:p>
      <w:pPr>
        <w:pStyle w:val="ListParagraph"/>
        <w:numPr>
          <w:ilvl w:val="0"/>
          <w:numId w:val="3"/>
        </w:numPr>
        <w:spacing w:after="80" w:line="276"/>
        <w:jc w:val="both"/>
      </w:pPr>
      <w:r>
        <w:rPr>
          <w:rFonts w:ascii="Calibri" w:cs="Calibri" w:eastAsia="Calibri" w:hAnsi="Calibri"/>
          <w:sz w:val="22"/>
          <w:szCs w:val="22"/>
        </w:rPr>
        <w:t xml:space="preserve">Levantar y priorizar los requerimientos del MVP mediante historias de usuario con criterios de aceptación verificables.</w:t>
      </w:r>
    </w:p>
    <w:p>
      <w:pPr>
        <w:pStyle w:val="ListParagraph"/>
        <w:numPr>
          <w:ilvl w:val="0"/>
          <w:numId w:val="3"/>
        </w:numPr>
        <w:spacing w:after="80" w:line="276"/>
        <w:jc w:val="both"/>
      </w:pPr>
      <w:r>
        <w:rPr>
          <w:rFonts w:ascii="Calibri" w:cs="Calibri" w:eastAsia="Calibri" w:hAnsi="Calibri"/>
          <w:sz w:val="22"/>
          <w:szCs w:val="22"/>
        </w:rPr>
        <w:t xml:space="preserve">Diseñar una arquitectura de información que presente coberturas, exclusiones, primas y vigencias en lenguaje comprensible sin perder precision contractual.</w:t>
      </w:r>
    </w:p>
    <w:p>
      <w:pPr>
        <w:pStyle w:val="ListParagraph"/>
        <w:numPr>
          <w:ilvl w:val="0"/>
          <w:numId w:val="3"/>
        </w:numPr>
        <w:spacing w:after="80" w:line="276"/>
        <w:jc w:val="both"/>
      </w:pPr>
      <w:r>
        <w:rPr>
          <w:rFonts w:ascii="Calibri" w:cs="Calibri" w:eastAsia="Calibri" w:hAnsi="Calibri"/>
          <w:sz w:val="22"/>
          <w:szCs w:val="22"/>
        </w:rPr>
        <w:t xml:space="preserve">Construir un prototipo navegable de alta fidelidad que cubra los seis requerimientos funcionales declarados en el objeto del caso.</w:t>
      </w:r>
    </w:p>
    <w:p>
      <w:pPr>
        <w:pStyle w:val="ListParagraph"/>
        <w:numPr>
          <w:ilvl w:val="0"/>
          <w:numId w:val="3"/>
        </w:numPr>
        <w:spacing w:after="80" w:line="276"/>
        <w:jc w:val="both"/>
      </w:pPr>
      <w:r>
        <w:rPr>
          <w:rFonts w:ascii="Calibri" w:cs="Calibri" w:eastAsia="Calibri" w:hAnsi="Calibri"/>
          <w:sz w:val="22"/>
          <w:szCs w:val="22"/>
        </w:rPr>
        <w:t xml:space="preserve">Validar la comprensión del asegurado mediante pruebas de usabilidad con usuarios reales y documentar los hallazgos.</w:t>
      </w:r>
    </w:p>
    <w:p>
      <w:pPr>
        <w:pStyle w:val="ListParagraph"/>
        <w:numPr>
          <w:ilvl w:val="0"/>
          <w:numId w:val="3"/>
        </w:numPr>
        <w:spacing w:after="80" w:line="276"/>
        <w:jc w:val="both"/>
      </w:pPr>
      <w:r>
        <w:rPr>
          <w:rFonts w:ascii="Calibri" w:cs="Calibri" w:eastAsia="Calibri" w:hAnsi="Calibri"/>
          <w:sz w:val="22"/>
          <w:szCs w:val="22"/>
        </w:rPr>
        <w:t xml:space="preserve">Gestionar el proyecto con trazabilidad documental, liderazgo rotativo por fase y control quincenal de los dos indicadores obligatorios.</w:t>
      </w:r>
    </w:p>
    <w:p>
      <w:pPr>
        <w:pStyle w:val="Heading1"/>
        <w:spacing w:after="160" w:before="320"/>
      </w:pPr>
      <w:r>
        <w:rPr>
          <w:rFonts w:ascii="Calibri" w:cs="Calibri" w:eastAsia="Calibri" w:hAnsi="Calibri"/>
          <w:b/>
          <w:bCs/>
          <w:color w:val="1F4E79"/>
          <w:sz w:val="30"/>
          <w:szCs w:val="30"/>
        </w:rPr>
        <w:t xml:space="preserve">4. Alcance del proyecto</w:t>
      </w:r>
    </w:p>
    <w:p>
      <w:pPr>
        <w:pStyle w:val="Heading2"/>
        <w:spacing w:after="120" w:before="240"/>
      </w:pPr>
      <w:r>
        <w:rPr>
          <w:rFonts w:ascii="Calibri" w:cs="Calibri" w:eastAsia="Calibri" w:hAnsi="Calibri"/>
          <w:b/>
          <w:bCs/>
          <w:color w:val="1F4E79"/>
          <w:sz w:val="25"/>
          <w:szCs w:val="25"/>
        </w:rPr>
        <w:t xml:space="preserve">4.1. Alcance incluido</w:t>
      </w:r>
    </w:p>
    <w:p>
      <w:pPr>
        <w:spacing w:after="120" w:line="276"/>
        <w:jc w:val="both"/>
      </w:pPr>
      <w:r>
        <w:rPr>
          <w:rFonts w:ascii="Calibri" w:cs="Calibri" w:eastAsia="Calibri" w:hAnsi="Calibri"/>
          <w:b w:val="false"/>
          <w:bCs w:val="false"/>
          <w:i w:val="false"/>
          <w:iCs w:val="false"/>
          <w:color w:val="000000"/>
          <w:sz w:val="22"/>
          <w:szCs w:val="22"/>
        </w:rPr>
        <w:t xml:space="preserve">El prototipo navegable deberá permitir al asegurado:</w:t>
      </w:r>
    </w:p>
    <w:p>
      <w:pPr>
        <w:pStyle w:val="ListParagraph"/>
        <w:numPr>
          <w:ilvl w:val="0"/>
          <w:numId w:val="2"/>
        </w:numPr>
        <w:spacing w:after="80" w:line="276"/>
        <w:jc w:val="both"/>
      </w:pPr>
      <w:r>
        <w:rPr>
          <w:rFonts w:ascii="Calibri" w:cs="Calibri" w:eastAsia="Calibri" w:hAnsi="Calibri"/>
          <w:sz w:val="22"/>
          <w:szCs w:val="22"/>
        </w:rPr>
        <w:t xml:space="preserve">Visualizar el resumen de su póliza activa y el estado actual de su cobertura.</w:t>
      </w:r>
    </w:p>
    <w:p>
      <w:pPr>
        <w:pStyle w:val="ListParagraph"/>
        <w:numPr>
          <w:ilvl w:val="0"/>
          <w:numId w:val="2"/>
        </w:numPr>
        <w:spacing w:after="80" w:line="276"/>
        <w:jc w:val="both"/>
      </w:pPr>
      <w:r>
        <w:rPr>
          <w:rFonts w:ascii="Calibri" w:cs="Calibri" w:eastAsia="Calibri" w:hAnsi="Calibri"/>
          <w:sz w:val="22"/>
          <w:szCs w:val="22"/>
        </w:rPr>
        <w:t xml:space="preserve">Consultar el detalle de primas, coberturas y exclusiones de la póliza.</w:t>
      </w:r>
    </w:p>
    <w:p>
      <w:pPr>
        <w:pStyle w:val="ListParagraph"/>
        <w:numPr>
          <w:ilvl w:val="0"/>
          <w:numId w:val="2"/>
        </w:numPr>
        <w:spacing w:after="80" w:line="276"/>
        <w:jc w:val="both"/>
      </w:pPr>
      <w:r>
        <w:rPr>
          <w:rFonts w:ascii="Calibri" w:cs="Calibri" w:eastAsia="Calibri" w:hAnsi="Calibri"/>
          <w:sz w:val="22"/>
          <w:szCs w:val="22"/>
        </w:rPr>
        <w:t xml:space="preserve">Consultar las fechas de vigencia y recibir alertas de renovación o vencimiento.</w:t>
      </w:r>
    </w:p>
    <w:p>
      <w:pPr>
        <w:pStyle w:val="ListParagraph"/>
        <w:numPr>
          <w:ilvl w:val="0"/>
          <w:numId w:val="2"/>
        </w:numPr>
        <w:spacing w:after="80" w:line="276"/>
        <w:jc w:val="both"/>
      </w:pPr>
      <w:r>
        <w:rPr>
          <w:rFonts w:ascii="Calibri" w:cs="Calibri" w:eastAsia="Calibri" w:hAnsi="Calibri"/>
          <w:sz w:val="22"/>
          <w:szCs w:val="22"/>
        </w:rPr>
        <w:t xml:space="preserve">Simular el impacto de un cambio de plan o de una ampliación de cobertura.</w:t>
      </w:r>
    </w:p>
    <w:p>
      <w:pPr>
        <w:pStyle w:val="ListParagraph"/>
        <w:numPr>
          <w:ilvl w:val="0"/>
          <w:numId w:val="2"/>
        </w:numPr>
        <w:spacing w:after="80" w:line="276"/>
        <w:jc w:val="both"/>
      </w:pPr>
      <w:r>
        <w:rPr>
          <w:rFonts w:ascii="Calibri" w:cs="Calibri" w:eastAsia="Calibri" w:hAnsi="Calibri"/>
          <w:sz w:val="22"/>
          <w:szCs w:val="22"/>
        </w:rPr>
        <w:t xml:space="preserve">Acceder a mensajes educativos sobre protección, prevencion de riesgos y uso responsable del seguro.</w:t>
      </w:r>
    </w:p>
    <w:p>
      <w:pPr>
        <w:pStyle w:val="ListParagraph"/>
        <w:numPr>
          <w:ilvl w:val="0"/>
          <w:numId w:val="2"/>
        </w:numPr>
        <w:spacing w:after="80" w:line="276"/>
        <w:jc w:val="both"/>
      </w:pPr>
      <w:r>
        <w:rPr>
          <w:rFonts w:ascii="Calibri" w:cs="Calibri" w:eastAsia="Calibri" w:hAnsi="Calibri"/>
          <w:sz w:val="22"/>
          <w:szCs w:val="22"/>
        </w:rPr>
        <w:t xml:space="preserve">Recibir notificaciones automáticas de vencimiento, renovación y estado de siniestros.</w:t>
      </w:r>
    </w:p>
    <w:p>
      <w:pPr>
        <w:spacing w:after="120" w:line="276"/>
        <w:jc w:val="both"/>
      </w:pPr>
      <w:r>
        <w:rPr>
          <w:rFonts w:ascii="Calibri" w:cs="Calibri" w:eastAsia="Calibri" w:hAnsi="Calibri"/>
          <w:b w:val="false"/>
          <w:bCs w:val="false"/>
          <w:i w:val="false"/>
          <w:iCs w:val="false"/>
          <w:color w:val="000000"/>
          <w:sz w:val="22"/>
          <w:szCs w:val="22"/>
        </w:rPr>
        <w:t xml:space="preserve">Además, el proyecto comprende la documentación completa de las cinco fases técnicas y de las tres fases administrativas transversales, la evidencia de pruebas de usabilidad, la simulación de despliegue, el informe financiero y la presentación ejecutiva final.</w:t>
      </w:r>
    </w:p>
    <w:p>
      <w:pPr>
        <w:pStyle w:val="Heading2"/>
        <w:spacing w:after="120" w:before="240"/>
      </w:pPr>
      <w:r>
        <w:rPr>
          <w:rFonts w:ascii="Calibri" w:cs="Calibri" w:eastAsia="Calibri" w:hAnsi="Calibri"/>
          <w:b/>
          <w:bCs/>
          <w:color w:val="1F4E79"/>
          <w:sz w:val="25"/>
          <w:szCs w:val="25"/>
        </w:rPr>
        <w:t xml:space="preserve">4.2. Alcance excluido</w:t>
      </w:r>
    </w:p>
    <w:p>
      <w:pPr>
        <w:spacing w:after="120" w:line="276"/>
        <w:jc w:val="both"/>
      </w:pPr>
      <w:r>
        <w:rPr>
          <w:rFonts w:ascii="Calibri" w:cs="Calibri" w:eastAsia="Calibri" w:hAnsi="Calibri"/>
          <w:b w:val="false"/>
          <w:bCs w:val="false"/>
          <w:i w:val="false"/>
          <w:iCs w:val="false"/>
          <w:color w:val="000000"/>
          <w:sz w:val="22"/>
          <w:szCs w:val="22"/>
        </w:rPr>
        <w:t xml:space="preserve">Se excluye expresamente del alcance de este proyecto, y así queda acordado con el cliente:</w:t>
      </w:r>
    </w:p>
    <w:p>
      <w:pPr>
        <w:pStyle w:val="ListParagraph"/>
        <w:numPr>
          <w:ilvl w:val="0"/>
          <w:numId w:val="2"/>
        </w:numPr>
        <w:spacing w:after="80" w:line="276"/>
        <w:jc w:val="both"/>
      </w:pPr>
      <w:r>
        <w:rPr>
          <w:rFonts w:ascii="Calibri" w:cs="Calibri" w:eastAsia="Calibri" w:hAnsi="Calibri"/>
          <w:sz w:val="22"/>
          <w:szCs w:val="22"/>
        </w:rPr>
        <w:t xml:space="preserve">La programacion en código de la aplicación. El producto es un prototipo navegable, no un sistema funcional.</w:t>
      </w:r>
    </w:p>
    <w:p>
      <w:pPr>
        <w:pStyle w:val="ListParagraph"/>
        <w:numPr>
          <w:ilvl w:val="0"/>
          <w:numId w:val="2"/>
        </w:numPr>
        <w:spacing w:after="80" w:line="276"/>
        <w:jc w:val="both"/>
      </w:pPr>
      <w:r>
        <w:rPr>
          <w:rFonts w:ascii="Calibri" w:cs="Calibri" w:eastAsia="Calibri" w:hAnsi="Calibri"/>
          <w:sz w:val="22"/>
          <w:szCs w:val="22"/>
        </w:rPr>
        <w:t xml:space="preserve">El desarrollo del sistema de información de pólizas y la integración productiva con la plataforma de Insurance-as-a-Service.</w:t>
      </w:r>
    </w:p>
    <w:p>
      <w:pPr>
        <w:pStyle w:val="ListParagraph"/>
        <w:numPr>
          <w:ilvl w:val="0"/>
          <w:numId w:val="2"/>
        </w:numPr>
        <w:spacing w:after="80" w:line="276"/>
        <w:jc w:val="both"/>
      </w:pPr>
      <w:r>
        <w:rPr>
          <w:rFonts w:ascii="Calibri" w:cs="Calibri" w:eastAsia="Calibri" w:hAnsi="Calibri"/>
          <w:sz w:val="22"/>
          <w:szCs w:val="22"/>
        </w:rPr>
        <w:t xml:space="preserve">Cualquier modificación del modelo actuarial, de las tarifas de primas reales o de las reglas de suscripcion.</w:t>
      </w:r>
    </w:p>
    <w:p>
      <w:pPr>
        <w:pStyle w:val="ListParagraph"/>
        <w:numPr>
          <w:ilvl w:val="0"/>
          <w:numId w:val="2"/>
        </w:numPr>
        <w:spacing w:after="80" w:line="276"/>
        <w:jc w:val="both"/>
      </w:pPr>
      <w:r>
        <w:rPr>
          <w:rFonts w:ascii="Calibri" w:cs="Calibri" w:eastAsia="Calibri" w:hAnsi="Calibri"/>
          <w:sz w:val="22"/>
          <w:szCs w:val="22"/>
        </w:rPr>
        <w:t xml:space="preserve">La contratación o venta de productos de seguro desde la aplicación.</w:t>
      </w:r>
    </w:p>
    <w:p>
      <w:pPr>
        <w:pStyle w:val="ListParagraph"/>
        <w:numPr>
          <w:ilvl w:val="0"/>
          <w:numId w:val="2"/>
        </w:numPr>
        <w:spacing w:after="80" w:line="276"/>
        <w:jc w:val="both"/>
      </w:pPr>
      <w:r>
        <w:rPr>
          <w:rFonts w:ascii="Calibri" w:cs="Calibri" w:eastAsia="Calibri" w:hAnsi="Calibri"/>
          <w:sz w:val="22"/>
          <w:szCs w:val="22"/>
        </w:rPr>
        <w:t xml:space="preserve">La atención en línea con asesores humanos dentro de la aplicación.</w:t>
      </w:r>
    </w:p>
    <w:p>
      <w:pPr>
        <w:pStyle w:val="ListParagraph"/>
        <w:numPr>
          <w:ilvl w:val="0"/>
          <w:numId w:val="2"/>
        </w:numPr>
        <w:spacing w:after="80" w:line="276"/>
        <w:jc w:val="both"/>
      </w:pPr>
      <w:r>
        <w:rPr>
          <w:rFonts w:ascii="Calibri" w:cs="Calibri" w:eastAsia="Calibri" w:hAnsi="Calibri"/>
          <w:sz w:val="22"/>
          <w:szCs w:val="22"/>
        </w:rPr>
        <w:t xml:space="preserve">La integración de pólizas de aseguradoras que no sean partner de la plataforma.</w:t>
      </w:r>
    </w:p>
    <w:p>
      <w:pPr>
        <w:spacing w:after="120" w:line="276"/>
        <w:jc w:val="both"/>
      </w:pPr>
      <w:r>
        <w:rPr>
          <w:rFonts w:ascii="Calibri" w:cs="Calibri" w:eastAsia="Calibri" w:hAnsi="Calibri"/>
          <w:b/>
          <w:bCs/>
          <w:i w:val="false"/>
          <w:iCs w:val="false"/>
          <w:color w:val="000000"/>
          <w:sz w:val="22"/>
          <w:szCs w:val="22"/>
        </w:rPr>
        <w:t xml:space="preserve">Nota sobre control de alcance: </w:t>
      </w:r>
      <w:r>
        <w:rPr>
          <w:rFonts w:ascii="Calibri" w:cs="Calibri" w:eastAsia="Calibri" w:hAnsi="Calibri"/>
          <w:b w:val="false"/>
          <w:bCs w:val="false"/>
          <w:i w:val="false"/>
          <w:iCs w:val="false"/>
          <w:color w:val="000000"/>
          <w:sz w:val="22"/>
          <w:szCs w:val="22"/>
        </w:rPr>
        <w:t xml:space="preserve">toda solicitud que amplie lo aquí declarado deberá tramitarse mediante el procedimiento formal de control de cambios, con análisis previo de impacto en tiempo y costo, y aprobación de la Dirección General. No se aceptaran ampliaciones sin justificación formal.</w:t>
      </w:r>
    </w:p>
    <w:p>
      <w:r>
        <w:br w:type="page"/>
      </w:r>
    </w:p>
    <w:p>
      <w:pPr>
        <w:pStyle w:val="Heading1"/>
        <w:spacing w:after="160" w:before="320"/>
      </w:pPr>
      <w:r>
        <w:rPr>
          <w:rFonts w:ascii="Calibri" w:cs="Calibri" w:eastAsia="Calibri" w:hAnsi="Calibri"/>
          <w:b/>
          <w:bCs/>
          <w:color w:val="1F4E79"/>
          <w:sz w:val="30"/>
          <w:szCs w:val="30"/>
        </w:rPr>
        <w:t xml:space="preserve">5. Entregables del proyecto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5580"/>
        <w:gridCol w:w="2400"/>
      </w:tblGrid>
      <w:tr>
        <w:trPr>
          <w:tblHeader/>
        </w:trPr>
        <w:tc>
          <w:tcPr>
            <w:tcW w:type="dxa" w:w="21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Fase</w:t>
            </w:r>
          </w:p>
        </w:tc>
        <w:tc>
          <w:tcPr>
            <w:tcW w:type="dxa" w:w="55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Entregables comprometidos</w:t>
            </w:r>
          </w:p>
        </w:tc>
        <w:tc>
          <w:tcPr>
            <w:tcW w:type="dxa" w:w="24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Líder responsable</w:t>
            </w:r>
          </w:p>
        </w:tc>
      </w:tr>
      <w:tr>
        <w:tc>
          <w:tcPr>
            <w:tcW w:type="dxa" w:w="2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Planeación (administrativa)</w:t>
            </w:r>
          </w:p>
        </w:tc>
        <w:tc>
          <w:tcPr>
            <w:tcW w:type="dxa" w:w="5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Acta de constitución del proyecto; esquema metodológico seleccionado y justificado; plan de proyecto con definición de roles, cronograma y presupuesto; tabla de costos unitarios.</w:t>
            </w:r>
          </w:p>
        </w:tc>
        <w:tc>
          <w:tcPr>
            <w:tcW w:type="dxa" w:w="2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r>
      <w:tr>
        <w:tc>
          <w:tcPr>
            <w:tcW w:type="dxa" w:w="2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1: Análisis</w:t>
            </w:r>
          </w:p>
        </w:tc>
        <w:tc>
          <w:tcPr>
            <w:tcW w:type="dxa" w:w="5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Identificación de stakeholders; historias de usuario y requerimientos; backlog priorizado; matriz de riesgos inicial.</w:t>
            </w:r>
          </w:p>
        </w:tc>
        <w:tc>
          <w:tcPr>
            <w:tcW w:type="dxa" w:w="2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r>
      <w:tr>
        <w:tc>
          <w:tcPr>
            <w:tcW w:type="dxa" w:w="2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2: Diseño</w:t>
            </w:r>
          </w:p>
        </w:tc>
        <w:tc>
          <w:tcPr>
            <w:tcW w:type="dxa" w:w="5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Modelo de arquitectura; diagramas de actividad; diseño de base de datos; diseño de interfaz.</w:t>
            </w:r>
          </w:p>
        </w:tc>
        <w:tc>
          <w:tcPr>
            <w:tcW w:type="dxa" w:w="2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Esteban Pineda Ardila</w:t>
            </w:r>
          </w:p>
        </w:tc>
      </w:tr>
      <w:tr>
        <w:tc>
          <w:tcPr>
            <w:tcW w:type="dxa" w:w="2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3: Implementación</w:t>
            </w:r>
          </w:p>
        </w:tc>
        <w:tc>
          <w:tcPr>
            <w:tcW w:type="dxa" w:w="5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Repositorio estructurado; patrones de GUI; estándares de codificación documentados; evidencia de programacion en pares; pull requests y revisión de GUI; sprint backlog ejecutado.</w:t>
            </w:r>
          </w:p>
        </w:tc>
        <w:tc>
          <w:tcPr>
            <w:tcW w:type="dxa" w:w="2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Marlon Andres Campo</w:t>
            </w:r>
          </w:p>
        </w:tc>
      </w:tr>
      <w:tr>
        <w:tc>
          <w:tcPr>
            <w:tcW w:type="dxa" w:w="2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4: Pruebas</w:t>
            </w:r>
          </w:p>
        </w:tc>
        <w:tc>
          <w:tcPr>
            <w:tcW w:type="dxa" w:w="5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Plan de pruebas de usabilidad; reporte de pruebas de usabilidad.</w:t>
            </w:r>
          </w:p>
        </w:tc>
        <w:tc>
          <w:tcPr>
            <w:tcW w:type="dxa" w:w="2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David Mauricio Torres</w:t>
            </w:r>
          </w:p>
        </w:tc>
      </w:tr>
      <w:tr>
        <w:tc>
          <w:tcPr>
            <w:tcW w:type="dxa" w:w="2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5: Implantación</w:t>
            </w:r>
          </w:p>
        </w:tc>
        <w:tc>
          <w:tcPr>
            <w:tcW w:type="dxa" w:w="5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Evidencia de despliegue mediante simulación de uso por una persona ajena al equipo; guía basica de usuario.</w:t>
            </w:r>
          </w:p>
        </w:tc>
        <w:tc>
          <w:tcPr>
            <w:tcW w:type="dxa" w:w="2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Esteban Pineda Ardila</w:t>
            </w:r>
          </w:p>
        </w:tc>
      </w:tr>
      <w:tr>
        <w:tc>
          <w:tcPr>
            <w:tcW w:type="dxa" w:w="2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Seguimiento (administrativa)</w:t>
            </w:r>
          </w:p>
        </w:tc>
        <w:tc>
          <w:tcPr>
            <w:tcW w:type="dxa" w:w="5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Reporte cada dos semanas; control de riesgos; actualización del backlog.</w:t>
            </w:r>
          </w:p>
        </w:tc>
        <w:tc>
          <w:tcPr>
            <w:tcW w:type="dxa" w:w="2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Marlon Andres Campo</w:t>
            </w:r>
          </w:p>
        </w:tc>
      </w:tr>
      <w:tr>
        <w:tc>
          <w:tcPr>
            <w:tcW w:type="dxa" w:w="2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Relación con el Cliente (administrativa)</w:t>
            </w:r>
          </w:p>
        </w:tc>
        <w:tc>
          <w:tcPr>
            <w:tcW w:type="dxa" w:w="5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Bitácora de reuniones; gestión de cambios; manejo de conflictos.</w:t>
            </w:r>
          </w:p>
        </w:tc>
        <w:tc>
          <w:tcPr>
            <w:tcW w:type="dxa" w:w="2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David Mauricio Torres</w:t>
            </w:r>
          </w:p>
        </w:tc>
      </w:tr>
    </w:tbl>
    <w:p>
      <w:pPr>
        <w:pStyle w:val="Heading1"/>
        <w:spacing w:after="160" w:before="320"/>
      </w:pPr>
      <w:r>
        <w:rPr>
          <w:rFonts w:ascii="Calibri" w:cs="Calibri" w:eastAsia="Calibri" w:hAnsi="Calibri"/>
          <w:b/>
          <w:bCs/>
          <w:color w:val="1F4E79"/>
          <w:sz w:val="30"/>
          <w:szCs w:val="30"/>
        </w:rPr>
        <w:t xml:space="preserve">6. Equipo de proyecto y asignación de roles</w:t>
      </w:r>
    </w:p>
    <w:p>
      <w:pPr>
        <w:spacing w:after="120" w:line="276"/>
        <w:jc w:val="both"/>
      </w:pPr>
      <w:r>
        <w:rPr>
          <w:rFonts w:ascii="Calibri" w:cs="Calibri" w:eastAsia="Calibri" w:hAnsi="Calibri"/>
          <w:b w:val="false"/>
          <w:bCs w:val="false"/>
          <w:i w:val="false"/>
          <w:iCs w:val="false"/>
          <w:color w:val="000000"/>
          <w:sz w:val="22"/>
          <w:szCs w:val="22"/>
        </w:rPr>
        <w:t xml:space="preserve">El caso exige que cada integrante lidere al menos una fase técnica y que el liderazgo sea rotativo, de modo que ningún líder se repita en dos fases técnicas consecutivas. Adicionalmente, las tres fases administrativas transversales deben estar asignadas a integrantes distintos. La siguiente distribución satisface ambas condiciones y equilibra la carga entre los cuatro integrantes del equipo: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000"/>
        <w:gridCol w:w="3480"/>
      </w:tblGrid>
      <w:tr>
        <w:trPr>
          <w:tblHeader/>
        </w:trPr>
        <w:tc>
          <w:tcPr>
            <w:tcW w:type="dxa" w:w="2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Integrante</w:t>
            </w:r>
          </w:p>
        </w:tc>
        <w:tc>
          <w:tcPr>
            <w:tcW w:type="dxa" w:w="4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Rol administrativo transversal</w:t>
            </w:r>
          </w:p>
        </w:tc>
        <w:tc>
          <w:tcPr>
            <w:tcW w:type="dxa" w:w="34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Fase(s) técnica(s) que lidera</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4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Gerente de Proyecto - Fase de Planeación (Estudiante 1)</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1: Análisis</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Esteban Pineda Ardila</w:t>
            </w:r>
          </w:p>
        </w:tc>
        <w:tc>
          <w:tcPr>
            <w:tcW w:type="dxa" w:w="4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Apoyo técnico a la gestión documental de diseño</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2: Diseño y Fase Técnica 5: Implantación</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Marlon Andres Campo</w:t>
            </w:r>
          </w:p>
        </w:tc>
        <w:tc>
          <w:tcPr>
            <w:tcW w:type="dxa" w:w="4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Seguimiento y Control (Estudiante 2)</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3: Implementación</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David Mauricio Torres</w:t>
            </w:r>
          </w:p>
        </w:tc>
        <w:tc>
          <w:tcPr>
            <w:tcW w:type="dxa" w:w="4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Relación con el Cliente (Estudiante 3)</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Técnica 4: Pruebas</w:t>
            </w:r>
          </w:p>
        </w:tc>
      </w:tr>
    </w:tbl>
    <w:p>
      <w:pPr>
        <w:spacing w:after="160"/>
      </w:pPr>
    </w:p>
    <w:p>
      <w:pPr>
        <w:spacing w:after="120" w:line="276"/>
        <w:jc w:val="both"/>
      </w:pPr>
      <w:r>
        <w:rPr>
          <w:rFonts w:ascii="Calibri" w:cs="Calibri" w:eastAsia="Calibri" w:hAnsi="Calibri"/>
          <w:b w:val="false"/>
          <w:bCs w:val="false"/>
          <w:i w:val="false"/>
          <w:iCs w:val="false"/>
          <w:color w:val="000000"/>
          <w:sz w:val="22"/>
          <w:szCs w:val="22"/>
        </w:rPr>
        <w:t xml:space="preserve">La secuencia de liderazgo técnico resultante es: Análisis (Santiago Arias Mosquera) - Diseño (Esteban Pineda Ardila) - Implementación (Marlon Andres Campo) - Pruebas (David Mauricio Torres) - Implantación (Esteban Pineda Ardila). Ningún integrante lidera dos fases consecutivas y ninguno concentra la totalidad de las responsabilidades del proyecto.</w:t>
      </w:r>
    </w:p>
    <w:p>
      <w:pPr>
        <w:pStyle w:val="Heading2"/>
        <w:spacing w:after="120" w:before="240"/>
      </w:pPr>
      <w:r>
        <w:rPr>
          <w:rFonts w:ascii="Calibri" w:cs="Calibri" w:eastAsia="Calibri" w:hAnsi="Calibri"/>
          <w:b/>
          <w:bCs/>
          <w:color w:val="1F4E79"/>
          <w:sz w:val="25"/>
          <w:szCs w:val="25"/>
        </w:rPr>
        <w:t xml:space="preserve">6.1. Responsabilidades del líder de fase</w:t>
      </w:r>
    </w:p>
    <w:p>
      <w:pPr>
        <w:pStyle w:val="ListParagraph"/>
        <w:numPr>
          <w:ilvl w:val="0"/>
          <w:numId w:val="2"/>
        </w:numPr>
        <w:spacing w:after="80" w:line="276"/>
        <w:jc w:val="both"/>
      </w:pPr>
      <w:r>
        <w:rPr>
          <w:rFonts w:ascii="Calibri" w:cs="Calibri" w:eastAsia="Calibri" w:hAnsi="Calibri"/>
          <w:sz w:val="22"/>
          <w:szCs w:val="22"/>
        </w:rPr>
        <w:t xml:space="preserve">Coordinar las reuniones de su fase y dejar registro en la bitácora del equipo.</w:t>
      </w:r>
    </w:p>
    <w:p>
      <w:pPr>
        <w:pStyle w:val="ListParagraph"/>
        <w:numPr>
          <w:ilvl w:val="0"/>
          <w:numId w:val="2"/>
        </w:numPr>
        <w:spacing w:after="80" w:line="276"/>
        <w:jc w:val="both"/>
      </w:pPr>
      <w:r>
        <w:rPr>
          <w:rFonts w:ascii="Calibri" w:cs="Calibri" w:eastAsia="Calibri" w:hAnsi="Calibri"/>
          <w:sz w:val="22"/>
          <w:szCs w:val="22"/>
        </w:rPr>
        <w:t xml:space="preserve">Asignar tareas a los integrantes y hacer seguimiento a su ejecución.</w:t>
      </w:r>
    </w:p>
    <w:p>
      <w:pPr>
        <w:pStyle w:val="ListParagraph"/>
        <w:numPr>
          <w:ilvl w:val="0"/>
          <w:numId w:val="2"/>
        </w:numPr>
        <w:spacing w:after="80" w:line="276"/>
        <w:jc w:val="both"/>
      </w:pPr>
      <w:r>
        <w:rPr>
          <w:rFonts w:ascii="Calibri" w:cs="Calibri" w:eastAsia="Calibri" w:hAnsi="Calibri"/>
          <w:sz w:val="22"/>
          <w:szCs w:val="22"/>
        </w:rPr>
        <w:t xml:space="preserve">Tomar las decisiones técnicas de la fase y documentar su justificación.</w:t>
      </w:r>
    </w:p>
    <w:p>
      <w:pPr>
        <w:pStyle w:val="ListParagraph"/>
        <w:numPr>
          <w:ilvl w:val="0"/>
          <w:numId w:val="2"/>
        </w:numPr>
        <w:spacing w:after="80" w:line="276"/>
        <w:jc w:val="both"/>
      </w:pPr>
      <w:r>
        <w:rPr>
          <w:rFonts w:ascii="Calibri" w:cs="Calibri" w:eastAsia="Calibri" w:hAnsi="Calibri"/>
          <w:sz w:val="22"/>
          <w:szCs w:val="22"/>
        </w:rPr>
        <w:t xml:space="preserve">Resolver los conflictos internos que surjan durante su fase.</w:t>
      </w:r>
    </w:p>
    <w:p>
      <w:pPr>
        <w:pStyle w:val="ListParagraph"/>
        <w:numPr>
          <w:ilvl w:val="0"/>
          <w:numId w:val="2"/>
        </w:numPr>
        <w:spacing w:after="80" w:line="276"/>
        <w:jc w:val="both"/>
      </w:pPr>
      <w:r>
        <w:rPr>
          <w:rFonts w:ascii="Calibri" w:cs="Calibri" w:eastAsia="Calibri" w:hAnsi="Calibri"/>
          <w:sz w:val="22"/>
          <w:szCs w:val="22"/>
        </w:rPr>
        <w:t xml:space="preserve">Presentar los avances ante el cliente y ante el comite evaluador.</w:t>
      </w:r>
    </w:p>
    <w:p>
      <w:pPr>
        <w:pStyle w:val="ListParagraph"/>
        <w:numPr>
          <w:ilvl w:val="0"/>
          <w:numId w:val="2"/>
        </w:numPr>
        <w:spacing w:after="80" w:line="276"/>
        <w:jc w:val="both"/>
      </w:pPr>
      <w:r>
        <w:rPr>
          <w:rFonts w:ascii="Calibri" w:cs="Calibri" w:eastAsia="Calibri" w:hAnsi="Calibri"/>
          <w:sz w:val="22"/>
          <w:szCs w:val="22"/>
        </w:rPr>
        <w:t xml:space="preserve">Entregar al líder entrante un acta de cierre de fase con el estado de los entregables y las decisiones pendientes.</w:t>
      </w:r>
    </w:p>
    <w:p>
      <w:r>
        <w:br w:type="page"/>
      </w:r>
    </w:p>
    <w:p>
      <w:pPr>
        <w:pStyle w:val="Heading1"/>
        <w:spacing w:after="160" w:before="320"/>
      </w:pPr>
      <w:r>
        <w:rPr>
          <w:rFonts w:ascii="Calibri" w:cs="Calibri" w:eastAsia="Calibri" w:hAnsi="Calibri"/>
          <w:b/>
          <w:bCs/>
          <w:color w:val="1F4E79"/>
          <w:sz w:val="30"/>
          <w:szCs w:val="30"/>
        </w:rPr>
        <w:t xml:space="preserve">7. Stakeholders clave</w:t>
      </w:r>
    </w:p>
    <w:p>
      <w:pPr>
        <w:spacing w:after="120" w:line="276"/>
        <w:jc w:val="both"/>
      </w:pPr>
      <w:r>
        <w:rPr>
          <w:rFonts w:ascii="Calibri" w:cs="Calibri" w:eastAsia="Calibri" w:hAnsi="Calibri"/>
          <w:b w:val="false"/>
          <w:bCs w:val="false"/>
          <w:i w:val="false"/>
          <w:iCs w:val="false"/>
          <w:color w:val="000000"/>
          <w:sz w:val="22"/>
          <w:szCs w:val="22"/>
        </w:rPr>
        <w:t xml:space="preserve">El detalle completo, con valoracion de poder e interés y estrategia de gestión individual, se encuentra en el entregable "Identificación de stakeholders" de la Fase Técnica 1. A continuacion se relacionan los actores cuya intervención condiciona directamente el exito del proyecto: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5280"/>
        <w:gridCol w:w="2200"/>
      </w:tblGrid>
      <w:tr>
        <w:trPr>
          <w:tblHeader/>
        </w:trPr>
        <w:tc>
          <w:tcPr>
            <w:tcW w:type="dxa" w:w="2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Stakeholder</w:t>
            </w:r>
          </w:p>
        </w:tc>
        <w:tc>
          <w:tcPr>
            <w:tcW w:type="dxa" w:w="52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Expectativa declarada</w:t>
            </w:r>
          </w:p>
        </w:tc>
        <w:tc>
          <w:tcPr>
            <w:tcW w:type="dxa" w:w="22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Clasificación</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Área Legal de Monokera</w:t>
            </w:r>
          </w:p>
        </w:tc>
        <w:tc>
          <w:tcPr>
            <w:tcW w:type="dxa" w:w="5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Precision absoluta en la información contractual y de cobertura mostrada en la aplicación.</w:t>
            </w:r>
          </w:p>
        </w:tc>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Gestionar de cerca</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Área Actuarial de Monokera</w:t>
            </w:r>
          </w:p>
        </w:tc>
        <w:tc>
          <w:tcPr>
            <w:tcW w:type="dxa" w:w="5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Que no se altere el modelo actuarial ni las tarifas de primas reales; monitoreo de siniestralidad y abandono.</w:t>
            </w:r>
          </w:p>
        </w:tc>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Gestionar de cerca</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Área de Producto de Monokera</w:t>
            </w:r>
          </w:p>
        </w:tc>
        <w:tc>
          <w:tcPr>
            <w:tcW w:type="dxa" w:w="5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Coherencia e integración conceptual con la plataforma de Insurance-as-a-Service existente.</w:t>
            </w:r>
          </w:p>
        </w:tc>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Gestionar de cerca</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Área de Marketing de Monokera</w:t>
            </w:r>
          </w:p>
        </w:tc>
        <w:tc>
          <w:tcPr>
            <w:tcW w:type="dxa" w:w="5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Lanzamiento rápido y reducción inmediata de la tasa de abandono de pólizas.</w:t>
            </w:r>
          </w:p>
        </w:tc>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Mantener informado</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Dirección General de Monokera</w:t>
            </w:r>
          </w:p>
        </w:tc>
        <w:tc>
          <w:tcPr>
            <w:tcW w:type="dxa" w:w="5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del presupuesto asignado y de la fecha de entrega comprometida.</w:t>
            </w:r>
          </w:p>
        </w:tc>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Mantener satisfecho</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Superintendencia Financiera de Colombia</w:t>
            </w:r>
          </w:p>
        </w:tc>
        <w:tc>
          <w:tcPr>
            <w:tcW w:type="dxa" w:w="5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Adecuación del producto a la normativa de seguros y de protección al consumidor financiero.</w:t>
            </w:r>
          </w:p>
        </w:tc>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Mantener satisfecho</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Asegurado final</w:t>
            </w:r>
          </w:p>
        </w:tc>
        <w:tc>
          <w:tcPr>
            <w:tcW w:type="dxa" w:w="5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Información clara, en lenguaje comprensible y disponible cuando la necesita.</w:t>
            </w:r>
          </w:p>
        </w:tc>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Mantener informado</w:t>
            </w:r>
          </w:p>
        </w:tc>
      </w:tr>
    </w:tbl>
    <w:p>
      <w:pPr>
        <w:spacing w:after="160"/>
      </w:pPr>
    </w:p>
    <w:p>
      <w:pPr>
        <w:spacing w:after="120" w:line="276"/>
        <w:jc w:val="both"/>
      </w:pPr>
      <w:r>
        <w:rPr>
          <w:rFonts w:ascii="Calibri" w:cs="Calibri" w:eastAsia="Calibri" w:hAnsi="Calibri"/>
          <w:b/>
          <w:bCs/>
          <w:i w:val="false"/>
          <w:iCs w:val="false"/>
          <w:color w:val="000000"/>
          <w:sz w:val="22"/>
          <w:szCs w:val="22"/>
        </w:rPr>
        <w:t xml:space="preserve">Tensión central del proyecto: </w:t>
      </w:r>
      <w:r>
        <w:rPr>
          <w:rFonts w:ascii="Calibri" w:cs="Calibri" w:eastAsia="Calibri" w:hAnsi="Calibri"/>
          <w:b w:val="false"/>
          <w:bCs w:val="false"/>
          <w:i w:val="false"/>
          <w:iCs w:val="false"/>
          <w:color w:val="000000"/>
          <w:sz w:val="22"/>
          <w:szCs w:val="22"/>
        </w:rPr>
        <w:t xml:space="preserve">las áreas Legal y Actuarial exigen precision y no modificación del modelo, mientras Marketing presiona por velocidad y resultados inmediatos. El equipo adopta como criterio de decisión que el cumplimiento normativo es una restriccion no negociable y que, ante un conflicto, se ajusta el alcance del MVP y no la exactitud de la información presentada al asegurado.</w:t>
      </w:r>
    </w:p>
    <w:p>
      <w:pPr>
        <w:pStyle w:val="Heading1"/>
        <w:spacing w:after="160" w:before="320"/>
      </w:pPr>
      <w:r>
        <w:rPr>
          <w:rFonts w:ascii="Calibri" w:cs="Calibri" w:eastAsia="Calibri" w:hAnsi="Calibri"/>
          <w:b/>
          <w:bCs/>
          <w:color w:val="1F4E79"/>
          <w:sz w:val="30"/>
          <w:szCs w:val="30"/>
        </w:rPr>
        <w:t xml:space="preserve">8. Hitos principales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800"/>
        <w:gridCol w:w="5080"/>
      </w:tblGrid>
      <w:tr>
        <w:trPr>
          <w:tblHeader/>
        </w:trPr>
        <w:tc>
          <w:tcPr>
            <w:tcW w:type="dxa" w:w="22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Hito</w:t>
            </w:r>
          </w:p>
        </w:tc>
        <w:tc>
          <w:tcPr>
            <w:tcW w:type="dxa" w:w="2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Fecha o periodo</w:t>
            </w:r>
          </w:p>
        </w:tc>
        <w:tc>
          <w:tcPr>
            <w:tcW w:type="dxa" w:w="50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Descripción</w:t>
            </w:r>
          </w:p>
        </w:tc>
      </w:tr>
      <w:tr>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Inicio del proyecto</w:t>
            </w:r>
          </w:p>
        </w:tc>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28 de agosto de 2026</w:t>
            </w:r>
          </w:p>
        </w:tc>
        <w:tc>
          <w:tcPr>
            <w:tcW w:type="dxa" w:w="5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Asignación del caso y conformación del equipo.</w:t>
            </w:r>
          </w:p>
        </w:tc>
      </w:tr>
      <w:tr>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Cierre de Planeación</w:t>
            </w:r>
          </w:p>
        </w:tc>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 de septiembre de 2026</w:t>
            </w:r>
          </w:p>
        </w:tc>
        <w:tc>
          <w:tcPr>
            <w:tcW w:type="dxa" w:w="5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Acta de constitución, esquema metodológico, cronograma y presupuesto aprobados.</w:t>
            </w:r>
          </w:p>
        </w:tc>
      </w:tr>
      <w:tr>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Seguimiento 1</w:t>
            </w:r>
          </w:p>
        </w:tc>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Del 21 al 26 de septiembre de 2026</w:t>
            </w:r>
          </w:p>
        </w:tc>
        <w:tc>
          <w:tcPr>
            <w:tcW w:type="dxa" w:w="5080"/>
            <w:gridSpan w:val="1"/>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Primer reporte quincenal obligatorio con indicadores, riesgos y estado del presupuesto.</w:t>
            </w:r>
          </w:p>
        </w:tc>
      </w:tr>
      <w:tr>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Cierre de Análisis</w:t>
            </w:r>
          </w:p>
        </w:tc>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24 de septiembre de 2026</w:t>
            </w:r>
          </w:p>
        </w:tc>
        <w:tc>
          <w:tcPr>
            <w:tcW w:type="dxa" w:w="5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Stakeholders, historias de usuario, backlog priorizado y matriz de riesgos inicial.</w:t>
            </w:r>
          </w:p>
        </w:tc>
      </w:tr>
      <w:tr>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Cierre de Diseño</w:t>
            </w:r>
          </w:p>
        </w:tc>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15 de octubre de 2026</w:t>
            </w:r>
          </w:p>
        </w:tc>
        <w:tc>
          <w:tcPr>
            <w:tcW w:type="dxa" w:w="5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Arquitectura, diagramas de actividad, modelo de datos y diseño de interfaz.</w:t>
            </w:r>
          </w:p>
        </w:tc>
      </w:tr>
      <w:tr>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Seguimiento 2</w:t>
            </w:r>
          </w:p>
        </w:tc>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Del 19 al 24 de octubre de 2026</w:t>
            </w:r>
          </w:p>
        </w:tc>
        <w:tc>
          <w:tcPr>
            <w:tcW w:type="dxa" w:w="5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Segundo reporte quincenal obligatorio.</w:t>
            </w:r>
          </w:p>
        </w:tc>
      </w:tr>
      <w:tr>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Cierre de Implementación</w:t>
            </w:r>
          </w:p>
        </w:tc>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3 de noviembre de 2026</w:t>
            </w:r>
          </w:p>
        </w:tc>
        <w:tc>
          <w:tcPr>
            <w:tcW w:type="dxa" w:w="5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Prototipo navegable construido y sprint backlog ejecutado.</w:t>
            </w:r>
          </w:p>
        </w:tc>
      </w:tr>
      <w:tr>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Cierre de Pruebas</w:t>
            </w:r>
          </w:p>
        </w:tc>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12 de noviembre de 2026</w:t>
            </w:r>
          </w:p>
        </w:tc>
        <w:tc>
          <w:tcPr>
            <w:tcW w:type="dxa" w:w="5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Plan y reporte de pruebas de usabilidad con usuarios reales.</w:t>
            </w:r>
          </w:p>
        </w:tc>
      </w:tr>
      <w:tr>
        <w:tc>
          <w:tcPr>
            <w:tcW w:type="dxa" w:w="2200"/>
            <w:gridSpan w:val="1"/>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Seguimiento 3</w:t>
            </w:r>
          </w:p>
        </w:tc>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Del 16 al 21 de noviembre de 2026</w:t>
            </w:r>
          </w:p>
        </w:tc>
        <w:tc>
          <w:tcPr>
            <w:tcW w:type="dxa" w:w="5080"/>
            <w:gridSpan w:val="1"/>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Tercer reporte quincenal e informe financiero de cierre.</w:t>
            </w:r>
          </w:p>
        </w:tc>
      </w:tr>
      <w:tr>
        <w:tc>
          <w:tcPr>
            <w:tcW w:type="dxa" w:w="22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Entrega final</w:t>
            </w:r>
          </w:p>
        </w:tc>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19 de noviembre de 2026</w:t>
            </w:r>
          </w:p>
        </w:tc>
        <w:tc>
          <w:tcPr>
            <w:tcW w:type="dxa" w:w="5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Entrega de los ocho entregables finales obligatorios y sustentación.</w:t>
            </w:r>
          </w:p>
        </w:tc>
      </w:tr>
    </w:tbl>
    <w:p>
      <w:r>
        <w:br w:type="page"/>
      </w:r>
    </w:p>
    <w:p>
      <w:pPr>
        <w:pStyle w:val="Heading1"/>
        <w:spacing w:after="160" w:before="320"/>
      </w:pPr>
      <w:r>
        <w:rPr>
          <w:rFonts w:ascii="Calibri" w:cs="Calibri" w:eastAsia="Calibri" w:hAnsi="Calibri"/>
          <w:b/>
          <w:bCs/>
          <w:color w:val="1F4E79"/>
          <w:sz w:val="30"/>
          <w:szCs w:val="30"/>
        </w:rPr>
        <w:t xml:space="preserve">9. Presupuesto asignado y distribución</w:t>
      </w:r>
    </w:p>
    <w:p>
      <w:pPr>
        <w:spacing w:after="120" w:line="276"/>
        <w:jc w:val="both"/>
      </w:pPr>
      <w:r>
        <w:rPr>
          <w:rFonts w:ascii="Calibri" w:cs="Calibri" w:eastAsia="Calibri" w:hAnsi="Calibri"/>
          <w:b w:val="false"/>
          <w:bCs w:val="false"/>
          <w:i w:val="false"/>
          <w:iCs w:val="false"/>
          <w:color w:val="000000"/>
          <w:sz w:val="22"/>
          <w:szCs w:val="22"/>
        </w:rPr>
        <w:t xml:space="preserve">El cliente asigna un presupuesto de $265.000.000 COP, que debe distribuirse en las seis categorías definidas en el caso. La distribución aprobada es la siguiente; el detalle por concepto, unidad de medida, cantidad y costo unitario se encuentra en el entregable "Tabla de costos unitarios".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1700"/>
        <w:gridCol w:w="800"/>
        <w:gridCol w:w="4680"/>
      </w:tblGrid>
      <w:tr>
        <w:trPr>
          <w:tblHeader/>
        </w:trPr>
        <w:tc>
          <w:tcPr>
            <w:tcW w:type="dxa" w:w="29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Categoría presupuestal</w:t>
            </w:r>
          </w:p>
        </w:tc>
        <w:tc>
          <w:tcPr>
            <w:tcW w:type="dxa" w:w="17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Monto (COP)</w:t>
            </w:r>
          </w:p>
        </w:tc>
        <w:tc>
          <w:tcPr>
            <w:tcW w:type="dxa" w:w="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w:t>
            </w:r>
          </w:p>
        </w:tc>
        <w:tc>
          <w:tcPr>
            <w:tcW w:type="dxa" w:w="46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Criterio de asignación</w:t>
            </w:r>
          </w:p>
        </w:tc>
      </w:tr>
      <w:tr>
        <w:tc>
          <w:tcPr>
            <w:tcW w:type="dxa" w:w="2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 Horas hombre</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$101.880.000</w:t>
            </w:r>
          </w:p>
        </w:tc>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38,4%</w:t>
            </w:r>
          </w:p>
        </w:tc>
        <w:tc>
          <w:tcPr>
            <w:tcW w:type="dxa" w:w="4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producto es un prototipo navegable: el esfuerzo humano de análisis y construcción concentra el valor entregado.</w:t>
            </w:r>
          </w:p>
        </w:tc>
      </w:tr>
      <w:tr>
        <w:tc>
          <w:tcPr>
            <w:tcW w:type="dxa" w:w="2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 Diseño UX/UI</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$70.300.000</w:t>
            </w:r>
          </w:p>
        </w:tc>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26,5%</w:t>
            </w:r>
          </w:p>
        </w:tc>
        <w:tc>
          <w:tcPr>
            <w:tcW w:type="dxa" w:w="46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Traducir información actuarial y contractual compleja en interfaces comprensibles es el nucleo de la solucion.</w:t>
            </w:r>
          </w:p>
        </w:tc>
      </w:tr>
      <w:tr>
        <w:tc>
          <w:tcPr>
            <w:tcW w:type="dxa" w:w="2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3. Validación de usabilidad</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$22.500.000</w:t>
            </w:r>
          </w:p>
        </w:tc>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8,5%</w:t>
            </w:r>
          </w:p>
        </w:tc>
        <w:tc>
          <w:tcPr>
            <w:tcW w:type="dxa" w:w="4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Sin evidencia de comprensión del usuario no es posible sustentar la reducción del abandono.</w:t>
            </w:r>
          </w:p>
        </w:tc>
      </w:tr>
      <w:tr>
        <w:tc>
          <w:tcPr>
            <w:tcW w:type="dxa" w:w="2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4. Gestión del proyecto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$26.480.000</w:t>
            </w:r>
          </w:p>
        </w:tc>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w:t>
            </w:r>
          </w:p>
        </w:tc>
        <w:tc>
          <w:tcPr>
            <w:tcW w:type="dxa" w:w="46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Seguimiento quincenal obligatorio, control de dos indicadores y gestión de stakeholders en tensión.</w:t>
            </w:r>
          </w:p>
        </w:tc>
      </w:tr>
      <w:tr>
        <w:tc>
          <w:tcPr>
            <w:tcW w:type="dxa" w:w="2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Documentación</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$17.650.000</w:t>
            </w:r>
          </w:p>
        </w:tc>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6,7%</w:t>
            </w:r>
          </w:p>
        </w:tc>
        <w:tc>
          <w:tcPr>
            <w:tcW w:type="dxa" w:w="4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Entorno regulado: la trazabilidad documental es exigida por Legal y es criterio de evaluación.</w:t>
            </w:r>
          </w:p>
        </w:tc>
      </w:tr>
      <w:tr>
        <w:tc>
          <w:tcPr>
            <w:tcW w:type="dxa" w:w="2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6. Contingencias actuariales y regulatorias</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$26.190.000</w:t>
            </w:r>
          </w:p>
        </w:tc>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9,9%</w:t>
            </w:r>
          </w:p>
        </w:tc>
        <w:tc>
          <w:tcPr>
            <w:tcW w:type="dxa" w:w="46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Riesgo alto de cambios en circulares de la SFC durante la ejecución del proyecto.</w:t>
            </w:r>
          </w:p>
        </w:tc>
      </w:tr>
      <w:tr>
        <w:tc>
          <w:tcPr>
            <w:tcW w:type="dxa" w:w="29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TOTAL</w:t>
            </w:r>
          </w:p>
        </w:tc>
        <w:tc>
          <w:tcPr>
            <w:tcW w:type="dxa" w:w="17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$265.000.000</w:t>
            </w:r>
          </w:p>
        </w:tc>
        <w:tc>
          <w:tcPr>
            <w:tcW w:type="dxa" w:w="8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100%</w:t>
            </w:r>
          </w:p>
        </w:tc>
        <w:tc>
          <w:tcPr>
            <w:tcW w:type="dxa" w:w="468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r>
    </w:tbl>
    <w:p>
      <w:pPr>
        <w:spacing w:after="160"/>
      </w:pPr>
    </w:p>
    <w:p>
      <w:pPr>
        <w:pStyle w:val="Heading2"/>
        <w:spacing w:after="120" w:before="240"/>
      </w:pPr>
      <w:r>
        <w:rPr>
          <w:rFonts w:ascii="Calibri" w:cs="Calibri" w:eastAsia="Calibri" w:hAnsi="Calibri"/>
          <w:b/>
          <w:bCs/>
          <w:color w:val="1F4E79"/>
          <w:sz w:val="25"/>
          <w:szCs w:val="25"/>
        </w:rPr>
        <w:t xml:space="preserve">9.1. Condiciones financieras acordadas</w:t>
      </w:r>
    </w:p>
    <w:p>
      <w:pPr>
        <w:pStyle w:val="ListParagraph"/>
        <w:numPr>
          <w:ilvl w:val="0"/>
          <w:numId w:val="2"/>
        </w:numPr>
        <w:spacing w:after="80" w:line="276"/>
        <w:jc w:val="both"/>
      </w:pPr>
      <w:r>
        <w:rPr>
          <w:rFonts w:ascii="Calibri" w:cs="Calibri" w:eastAsia="Calibri" w:hAnsi="Calibri"/>
          <w:sz w:val="22"/>
          <w:szCs w:val="22"/>
        </w:rPr>
        <w:t xml:space="preserve">La desviación presupuestal máxima permitida es de ±10% sobre el costo planificado acumulado.</w:t>
      </w:r>
    </w:p>
    <w:p>
      <w:pPr>
        <w:pStyle w:val="ListParagraph"/>
        <w:numPr>
          <w:ilvl w:val="0"/>
          <w:numId w:val="2"/>
        </w:numPr>
        <w:spacing w:after="80" w:line="276"/>
        <w:jc w:val="both"/>
      </w:pPr>
      <w:r>
        <w:rPr>
          <w:rFonts w:ascii="Calibri" w:cs="Calibri" w:eastAsia="Calibri" w:hAnsi="Calibri"/>
          <w:sz w:val="22"/>
          <w:szCs w:val="22"/>
        </w:rPr>
        <w:t xml:space="preserve">El seguimiento financiero es quincenal y obligatorio.</w:t>
      </w:r>
    </w:p>
    <w:p>
      <w:pPr>
        <w:pStyle w:val="ListParagraph"/>
        <w:numPr>
          <w:ilvl w:val="0"/>
          <w:numId w:val="2"/>
        </w:numPr>
        <w:spacing w:after="80" w:line="276"/>
        <w:jc w:val="both"/>
      </w:pPr>
      <w:r>
        <w:rPr>
          <w:rFonts w:ascii="Calibri" w:cs="Calibri" w:eastAsia="Calibri" w:hAnsi="Calibri"/>
          <w:sz w:val="22"/>
          <w:szCs w:val="22"/>
        </w:rPr>
        <w:t xml:space="preserve">Todo cambio en la regulación de seguros debe documentarse y analizarse en términos de impacto en tiempo y costo.</w:t>
      </w:r>
    </w:p>
    <w:p>
      <w:pPr>
        <w:pStyle w:val="ListParagraph"/>
        <w:numPr>
          <w:ilvl w:val="0"/>
          <w:numId w:val="2"/>
        </w:numPr>
        <w:spacing w:after="80" w:line="276"/>
        <w:jc w:val="both"/>
      </w:pPr>
      <w:r>
        <w:rPr>
          <w:rFonts w:ascii="Calibri" w:cs="Calibri" w:eastAsia="Calibri" w:hAnsi="Calibri"/>
          <w:sz w:val="22"/>
          <w:szCs w:val="22"/>
        </w:rPr>
        <w:t xml:space="preserve">No se aceptaran ampliaciones de presupuesto sin justificación formal aprobada por la Dirección General.</w:t>
      </w:r>
    </w:p>
    <w:p>
      <w:pPr>
        <w:pStyle w:val="ListParagraph"/>
        <w:numPr>
          <w:ilvl w:val="0"/>
          <w:numId w:val="2"/>
        </w:numPr>
        <w:spacing w:after="80" w:line="276"/>
        <w:jc w:val="both"/>
      </w:pPr>
      <w:r>
        <w:rPr>
          <w:rFonts w:ascii="Calibri" w:cs="Calibri" w:eastAsia="Calibri" w:hAnsi="Calibri"/>
          <w:sz w:val="22"/>
          <w:szCs w:val="22"/>
        </w:rPr>
        <w:t xml:space="preserve">El equipo establece un umbral interno de alerta temprana del 7% de desviación, para actuar antes de alcanzar el límite contractual.</w:t>
      </w:r>
    </w:p>
    <w:p>
      <w:pPr>
        <w:pStyle w:val="Heading1"/>
        <w:spacing w:after="160" w:before="320"/>
      </w:pPr>
      <w:r>
        <w:rPr>
          <w:rFonts w:ascii="Calibri" w:cs="Calibri" w:eastAsia="Calibri" w:hAnsi="Calibri"/>
          <w:b/>
          <w:bCs/>
          <w:color w:val="1F4E79"/>
          <w:sz w:val="30"/>
          <w:szCs w:val="30"/>
        </w:rPr>
        <w:t xml:space="preserve">10. Indicadores obligatorios de control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4680"/>
        <w:gridCol w:w="1400"/>
        <w:gridCol w:w="1100"/>
      </w:tblGrid>
      <w:tr>
        <w:trPr>
          <w:tblHeader/>
        </w:trPr>
        <w:tc>
          <w:tcPr>
            <w:tcW w:type="dxa" w:w="29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Indicador</w:t>
            </w:r>
          </w:p>
        </w:tc>
        <w:tc>
          <w:tcPr>
            <w:tcW w:type="dxa" w:w="46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Fórmula</w:t>
            </w:r>
          </w:p>
        </w:tc>
        <w:tc>
          <w:tcPr>
            <w:tcW w:type="dxa" w:w="14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Frecuencia</w:t>
            </w:r>
          </w:p>
        </w:tc>
        <w:tc>
          <w:tcPr>
            <w:tcW w:type="dxa" w:w="11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Meta</w:t>
            </w:r>
          </w:p>
        </w:tc>
      </w:tr>
      <w:tr>
        <w:tc>
          <w:tcPr>
            <w:tcW w:type="dxa" w:w="2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Indicador 1 - Desempeño: Cumplimiento de Sprint (%)</w:t>
            </w:r>
          </w:p>
        </w:tc>
        <w:tc>
          <w:tcPr>
            <w:tcW w:type="dxa" w:w="4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 = (HC / HCO) x 100, donde HC son las historias completadas y HCO las historias comprometidas en la quincena.</w:t>
            </w:r>
          </w:p>
        </w:tc>
        <w:tc>
          <w:tcPr>
            <w:tcW w:type="dxa" w:w="1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2 semanas</w:t>
            </w:r>
          </w:p>
        </w:tc>
        <w:tc>
          <w:tcPr>
            <w:tcW w:type="dxa" w:w="11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Mínimo 80%</w:t>
            </w:r>
          </w:p>
        </w:tc>
      </w:tr>
      <w:tr>
        <w:tc>
          <w:tcPr>
            <w:tcW w:type="dxa" w:w="2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Indicador 2 - Eficiencia: Desviación Presupuestal (%)</w:t>
            </w:r>
          </w:p>
        </w:tc>
        <w:tc>
          <w:tcPr>
            <w:tcW w:type="dxa" w:w="46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 = ((CR - CP) / CP) x 100, donde CR es el costo real acumulado y CP el costo planificado acumulado.</w:t>
            </w:r>
          </w:p>
        </w:tc>
        <w:tc>
          <w:tcPr>
            <w:tcW w:type="dxa" w:w="1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2 semanas</w:t>
            </w:r>
          </w:p>
        </w:tc>
        <w:tc>
          <w:tcPr>
            <w:tcW w:type="dxa" w:w="11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Máximo ±10%</w:t>
            </w:r>
          </w:p>
        </w:tc>
      </w:tr>
    </w:tbl>
    <w:p>
      <w:pPr>
        <w:spacing w:after="160"/>
      </w:pPr>
    </w:p>
    <w:p>
      <w:pPr>
        <w:spacing w:after="120" w:line="276"/>
        <w:jc w:val="both"/>
      </w:pPr>
      <w:r>
        <w:rPr>
          <w:rFonts w:ascii="Calibri" w:cs="Calibri" w:eastAsia="Calibri" w:hAnsi="Calibri"/>
          <w:b w:val="false"/>
          <w:bCs w:val="false"/>
          <w:i w:val="false"/>
          <w:iCs w:val="false"/>
          <w:color w:val="000000"/>
          <w:sz w:val="22"/>
          <w:szCs w:val="22"/>
        </w:rPr>
        <w:t xml:space="preserve">Ambos indicadores se reportan obligatoriamente en cada uno de los tres seguimientos del proyecto.</w:t>
      </w:r>
    </w:p>
    <w:p>
      <w:pPr>
        <w:pStyle w:val="Heading1"/>
        <w:spacing w:after="160" w:before="320"/>
      </w:pPr>
      <w:r>
        <w:rPr>
          <w:rFonts w:ascii="Calibri" w:cs="Calibri" w:eastAsia="Calibri" w:hAnsi="Calibri"/>
          <w:b/>
          <w:bCs/>
          <w:color w:val="1F4E79"/>
          <w:sz w:val="30"/>
          <w:szCs w:val="30"/>
        </w:rPr>
        <w:t xml:space="preserve">11. Restricciones del proyecto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8280"/>
      </w:tblGrid>
      <w:tr>
        <w:trPr>
          <w:tblHeader/>
        </w:trPr>
        <w:tc>
          <w:tcPr>
            <w:tcW w:type="dxa" w:w="1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Tipo</w:t>
            </w:r>
          </w:p>
        </w:tc>
        <w:tc>
          <w:tcPr>
            <w:tcW w:type="dxa" w:w="82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Restriccion</w:t>
            </w:r>
          </w:p>
        </w:tc>
      </w:tr>
      <w:tr>
        <w:tc>
          <w:tcPr>
            <w:tcW w:type="dxa" w:w="1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Técnica</w:t>
            </w:r>
          </w:p>
        </w:tc>
        <w:tc>
          <w:tcPr>
            <w:tcW w:type="dxa" w:w="8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Integración obligatoria, a nivel conceptual, con la plataforma de Insurance-as-a-Service existente de Monokera.</w:t>
            </w:r>
          </w:p>
        </w:tc>
      </w:tr>
      <w:tr>
        <w:tc>
          <w:tcPr>
            <w:tcW w:type="dxa" w:w="1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Técnica</w:t>
            </w:r>
          </w:p>
        </w:tc>
        <w:tc>
          <w:tcPr>
            <w:tcW w:type="dxa" w:w="8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No se permite alterar el modelo actuarial ni las tarifas de primas reales.</w:t>
            </w:r>
          </w:p>
        </w:tc>
      </w:tr>
      <w:tr>
        <w:tc>
          <w:tcPr>
            <w:tcW w:type="dxa" w:w="1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Técnica</w:t>
            </w:r>
          </w:p>
        </w:tc>
        <w:tc>
          <w:tcPr>
            <w:tcW w:type="dxa" w:w="8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No se requiere ni se permite programacion en código: el producto es un prototipo funcional navegable.</w:t>
            </w:r>
          </w:p>
        </w:tc>
      </w:tr>
      <w:tr>
        <w:tc>
          <w:tcPr>
            <w:tcW w:type="dxa" w:w="1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Normativa</w:t>
            </w:r>
          </w:p>
        </w:tc>
        <w:tc>
          <w:tcPr>
            <w:tcW w:type="dxa" w:w="8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información mostrada esta regulada por la normativa de seguros y de protección al consumidor financiero de la SFC.</w:t>
            </w:r>
          </w:p>
        </w:tc>
      </w:tr>
      <w:tr>
        <w:tc>
          <w:tcPr>
            <w:tcW w:type="dxa" w:w="1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Normativa</w:t>
            </w:r>
          </w:p>
        </w:tc>
        <w:tc>
          <w:tcPr>
            <w:tcW w:type="dxa" w:w="8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Deben respetarse los lineamientos de transparencia en coberturas y condiciones del seguro.</w:t>
            </w:r>
          </w:p>
        </w:tc>
      </w:tr>
      <w:tr>
        <w:tc>
          <w:tcPr>
            <w:tcW w:type="dxa" w:w="1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Financiera</w:t>
            </w:r>
          </w:p>
        </w:tc>
        <w:tc>
          <w:tcPr>
            <w:tcW w:type="dxa" w:w="8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Presupuesto fijo de $265.000.000 COP con desviación máxima de ±10%.</w:t>
            </w:r>
          </w:p>
        </w:tc>
      </w:tr>
      <w:tr>
        <w:tc>
          <w:tcPr>
            <w:tcW w:type="dxa" w:w="1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Temporal</w:t>
            </w:r>
          </w:p>
        </w:tc>
        <w:tc>
          <w:tcPr>
            <w:tcW w:type="dxa" w:w="8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Fecha de entrega final inamovible: 19 de noviembre de 2026.</w:t>
            </w:r>
          </w:p>
        </w:tc>
      </w:tr>
      <w:tr>
        <w:tc>
          <w:tcPr>
            <w:tcW w:type="dxa" w:w="1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Organizacional</w:t>
            </w:r>
          </w:p>
        </w:tc>
        <w:tc>
          <w:tcPr>
            <w:tcW w:type="dxa" w:w="8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liderazgo debe rotar por fase y ningún integrante puede asumir todas las responsabilidades.</w:t>
            </w:r>
          </w:p>
        </w:tc>
      </w:tr>
    </w:tbl>
    <w:p>
      <w:r>
        <w:br w:type="page"/>
      </w:r>
    </w:p>
    <w:p>
      <w:pPr>
        <w:pStyle w:val="Heading1"/>
        <w:spacing w:after="160" w:before="320"/>
      </w:pPr>
      <w:r>
        <w:rPr>
          <w:rFonts w:ascii="Calibri" w:cs="Calibri" w:eastAsia="Calibri" w:hAnsi="Calibri"/>
          <w:b/>
          <w:bCs/>
          <w:color w:val="1F4E79"/>
          <w:sz w:val="30"/>
          <w:szCs w:val="30"/>
        </w:rPr>
        <w:t xml:space="preserve">12. Supuestos</w:t>
      </w:r>
    </w:p>
    <w:p>
      <w:pPr>
        <w:spacing w:after="120" w:line="276"/>
        <w:jc w:val="both"/>
      </w:pPr>
      <w:r>
        <w:rPr>
          <w:rFonts w:ascii="Calibri" w:cs="Calibri" w:eastAsia="Calibri" w:hAnsi="Calibri"/>
          <w:b w:val="false"/>
          <w:bCs w:val="false"/>
          <w:i w:val="false"/>
          <w:iCs w:val="false"/>
          <w:color w:val="000000"/>
          <w:sz w:val="22"/>
          <w:szCs w:val="22"/>
        </w:rPr>
        <w:t xml:space="preserve">El presente acta se construye sobre los siguientes supuestos. Si alguno deja de cumplirse, deberá evaluarse su impacto sobre el alcance, el cronograma y el presupuesto:</w:t>
      </w:r>
    </w:p>
    <w:p>
      <w:pPr>
        <w:pStyle w:val="ListParagraph"/>
        <w:numPr>
          <w:ilvl w:val="0"/>
          <w:numId w:val="2"/>
        </w:numPr>
        <w:spacing w:after="80" w:line="276"/>
        <w:jc w:val="both"/>
      </w:pPr>
      <w:r>
        <w:rPr>
          <w:rFonts w:ascii="Calibri" w:cs="Calibri" w:eastAsia="Calibri" w:hAnsi="Calibri"/>
          <w:sz w:val="22"/>
          <w:szCs w:val="22"/>
        </w:rPr>
        <w:t xml:space="preserve">Las áreas Legal, Actuarial, de Producto y de Marketing de Monokera estaran disponibles para las sesiones de validación programadas en el cronograma.</w:t>
      </w:r>
    </w:p>
    <w:p>
      <w:pPr>
        <w:pStyle w:val="ListParagraph"/>
        <w:numPr>
          <w:ilvl w:val="0"/>
          <w:numId w:val="2"/>
        </w:numPr>
        <w:spacing w:after="80" w:line="276"/>
        <w:jc w:val="both"/>
      </w:pPr>
      <w:r>
        <w:rPr>
          <w:rFonts w:ascii="Calibri" w:cs="Calibri" w:eastAsia="Calibri" w:hAnsi="Calibri"/>
          <w:sz w:val="22"/>
          <w:szCs w:val="22"/>
        </w:rPr>
        <w:t xml:space="preserve">El cliente entregara oportunamente los clausulados de referencia y el historico de consultas del canal de soporte.</w:t>
      </w:r>
    </w:p>
    <w:p>
      <w:pPr>
        <w:pStyle w:val="ListParagraph"/>
        <w:numPr>
          <w:ilvl w:val="0"/>
          <w:numId w:val="2"/>
        </w:numPr>
        <w:spacing w:after="80" w:line="276"/>
        <w:jc w:val="both"/>
      </w:pPr>
      <w:r>
        <w:rPr>
          <w:rFonts w:ascii="Calibri" w:cs="Calibri" w:eastAsia="Calibri" w:hAnsi="Calibri"/>
          <w:sz w:val="22"/>
          <w:szCs w:val="22"/>
        </w:rPr>
        <w:t xml:space="preserve">Será posible reclutar doce asegurados reales para las pruebas de usabilidad de la Fase Técnica 4.</w:t>
      </w:r>
    </w:p>
    <w:p>
      <w:pPr>
        <w:pStyle w:val="ListParagraph"/>
        <w:numPr>
          <w:ilvl w:val="0"/>
          <w:numId w:val="2"/>
        </w:numPr>
        <w:spacing w:after="80" w:line="276"/>
        <w:jc w:val="both"/>
      </w:pPr>
      <w:r>
        <w:rPr>
          <w:rFonts w:ascii="Calibri" w:cs="Calibri" w:eastAsia="Calibri" w:hAnsi="Calibri"/>
          <w:sz w:val="22"/>
          <w:szCs w:val="22"/>
        </w:rPr>
        <w:t xml:space="preserve">La normativa vigente de la SFC se mantendra estable durante la ejecución; cualquier cambio se tratara conforme al riesgo R-01 de la matriz de riesgos.</w:t>
      </w:r>
    </w:p>
    <w:p>
      <w:pPr>
        <w:pStyle w:val="ListParagraph"/>
        <w:numPr>
          <w:ilvl w:val="0"/>
          <w:numId w:val="2"/>
        </w:numPr>
        <w:spacing w:after="80" w:line="276"/>
        <w:jc w:val="both"/>
      </w:pPr>
      <w:r>
        <w:rPr>
          <w:rFonts w:ascii="Calibri" w:cs="Calibri" w:eastAsia="Calibri" w:hAnsi="Calibri"/>
          <w:sz w:val="22"/>
          <w:szCs w:val="22"/>
        </w:rPr>
        <w:t xml:space="preserve">Los cuatro integrantes del equipo mantendran disponibilidad durante las doce semanas del proyecto.</w:t>
      </w:r>
    </w:p>
    <w:p>
      <w:pPr>
        <w:pStyle w:val="ListParagraph"/>
        <w:numPr>
          <w:ilvl w:val="0"/>
          <w:numId w:val="2"/>
        </w:numPr>
        <w:spacing w:after="80" w:line="276"/>
        <w:jc w:val="both"/>
      </w:pPr>
      <w:r>
        <w:rPr>
          <w:rFonts w:ascii="Calibri" w:cs="Calibri" w:eastAsia="Calibri" w:hAnsi="Calibri"/>
          <w:sz w:val="22"/>
          <w:szCs w:val="22"/>
        </w:rPr>
        <w:t xml:space="preserve">Las tarifas de contratación externa utilizadas en la tabla de costos unitarios se mantendran vigentes durante el periodo del proyecto.</w:t>
      </w:r>
    </w:p>
    <w:p>
      <w:pPr>
        <w:pStyle w:val="Heading1"/>
        <w:spacing w:after="160" w:before="320"/>
      </w:pPr>
      <w:r>
        <w:rPr>
          <w:rFonts w:ascii="Calibri" w:cs="Calibri" w:eastAsia="Calibri" w:hAnsi="Calibri"/>
          <w:b/>
          <w:bCs/>
          <w:color w:val="1F4E79"/>
          <w:sz w:val="30"/>
          <w:szCs w:val="30"/>
        </w:rPr>
        <w:t xml:space="preserve">13. Riesgos iniciales de alto nivel</w:t>
      </w:r>
    </w:p>
    <w:p>
      <w:pPr>
        <w:spacing w:after="120" w:line="276"/>
        <w:jc w:val="both"/>
      </w:pPr>
      <w:r>
        <w:rPr>
          <w:rFonts w:ascii="Calibri" w:cs="Calibri" w:eastAsia="Calibri" w:hAnsi="Calibri"/>
          <w:b w:val="false"/>
          <w:bCs w:val="false"/>
          <w:i w:val="false"/>
          <w:iCs w:val="false"/>
          <w:color w:val="000000"/>
          <w:sz w:val="22"/>
          <w:szCs w:val="22"/>
        </w:rPr>
        <w:t xml:space="preserve">La matriz completa, con quince riesgos valorados, acciones preventivas, planes de contingencia y responsables, constituye un entregable independiente de la Fase Técnica 1. Los riesgos de mayor exposición identificados al constituir el proyecto son: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5880"/>
        <w:gridCol w:w="1700"/>
        <w:gridCol w:w="1700"/>
      </w:tblGrid>
      <w:tr>
        <w:trPr>
          <w:tblHeader/>
        </w:trPr>
        <w:tc>
          <w:tcPr>
            <w:tcW w:type="dxa" w:w="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ID</w:t>
            </w:r>
          </w:p>
        </w:tc>
        <w:tc>
          <w:tcPr>
            <w:tcW w:type="dxa" w:w="58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Riesgo</w:t>
            </w:r>
          </w:p>
        </w:tc>
        <w:tc>
          <w:tcPr>
            <w:tcW w:type="dxa" w:w="17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Exposición</w:t>
            </w:r>
          </w:p>
        </w:tc>
        <w:tc>
          <w:tcPr>
            <w:tcW w:type="dxa" w:w="17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Estrategia</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R-01</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SFC emite una nueva circular durante la ejecución que obliga a modificar la información contractual del prototipo.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20 - Extremo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Mitigar</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R-02</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área legal exige revisiones sucesivas del microcopy contractual, alargando los ciclos de aprobación.</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20 - Extremo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Mitigar</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R-04</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Marketing solicita funcionalidades no previstas para acelerar la reducción del abandono.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16 - Alto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Mitigar</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R-07</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retraso acumulado en Análisis desplaza el inicio de Diseño y comprime las fases finales.</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16 - Alto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Mitigar</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R-03</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simulador de planes expone o altera tarifas de primas reales, violando una restriccion del caso.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15 - Alto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Evitar</w:t>
            </w:r>
          </w:p>
        </w:tc>
      </w:tr>
      <w:tr>
        <w:tc>
          <w:tcPr>
            <w:tcW w:type="dxa" w:w="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R-05</w:t>
            </w:r>
          </w:p>
        </w:tc>
        <w:tc>
          <w:tcPr>
            <w:tcW w:type="dxa" w:w="58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desviación presupuestal acumulada supera el límite del 10% permitido.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15 - Alto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Mitigar</w:t>
            </w:r>
          </w:p>
        </w:tc>
      </w:tr>
      <w:tr>
        <w:tc>
          <w:tcPr>
            <w:tcW w:type="dxa" w:w="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R-06</w:t>
            </w:r>
          </w:p>
        </w:tc>
        <w:tc>
          <w:tcPr>
            <w:tcW w:type="dxa" w:w="58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Las pruebas de usabilidad revelan que los asegurados siguen sin comprender sus coberturas.</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15 - Alto</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Mitigar</w:t>
            </w:r>
          </w:p>
        </w:tc>
      </w:tr>
    </w:tbl>
    <w:p>
      <w:pPr>
        <w:pStyle w:val="Heading1"/>
        <w:spacing w:after="160" w:before="320"/>
      </w:pPr>
      <w:r>
        <w:rPr>
          <w:rFonts w:ascii="Calibri" w:cs="Calibri" w:eastAsia="Calibri" w:hAnsi="Calibri"/>
          <w:b/>
          <w:bCs/>
          <w:color w:val="1F4E79"/>
          <w:sz w:val="30"/>
          <w:szCs w:val="30"/>
        </w:rPr>
        <w:t xml:space="preserve">14. Criterios de exito del proyecto</w:t>
      </w:r>
    </w:p>
    <w:p>
      <w:pPr>
        <w:spacing w:after="120" w:line="276"/>
        <w:jc w:val="both"/>
      </w:pPr>
      <w:r>
        <w:rPr>
          <w:rFonts w:ascii="Calibri" w:cs="Calibri" w:eastAsia="Calibri" w:hAnsi="Calibri"/>
          <w:b w:val="false"/>
          <w:bCs w:val="false"/>
          <w:i w:val="false"/>
          <w:iCs w:val="false"/>
          <w:color w:val="000000"/>
          <w:sz w:val="22"/>
          <w:szCs w:val="22"/>
        </w:rPr>
        <w:t xml:space="preserve">El proyecto se considerara exitoso si al 19 de noviembre de 2026 se verifica el cumplimiento de la totalidad de los siguientes criterios: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80"/>
      </w:tblGrid>
      <w:tr>
        <w:trPr>
          <w:tblHeader/>
        </w:trPr>
        <w:tc>
          <w:tcPr>
            <w:tcW w:type="dxa" w:w="2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Criterio</w:t>
            </w:r>
          </w:p>
        </w:tc>
        <w:tc>
          <w:tcPr>
            <w:tcW w:type="dxa" w:w="72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Medida de verificacion</w:t>
            </w:r>
          </w:p>
        </w:tc>
      </w:tr>
      <w:tr>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Producto entregado</w:t>
            </w:r>
          </w:p>
        </w:tc>
        <w:tc>
          <w:tcPr>
            <w:tcW w:type="dxa" w:w="7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Prototipo navegable de alta fidelidad que cubre los seis requerimientos funcionales del objeto del caso.</w:t>
            </w:r>
          </w:p>
        </w:tc>
      </w:tr>
      <w:tr>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Desempeño</w:t>
            </w:r>
          </w:p>
        </w:tc>
        <w:tc>
          <w:tcPr>
            <w:tcW w:type="dxa" w:w="7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de sprint promedio igual o superior al 80% en los tres cortes de seguimiento.</w:t>
            </w:r>
          </w:p>
        </w:tc>
      </w:tr>
      <w:tr>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Eficiencia</w:t>
            </w:r>
          </w:p>
        </w:tc>
        <w:tc>
          <w:tcPr>
            <w:tcW w:type="dxa" w:w="7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Desviación presupuestal final dentro del rango de ±10% respecto del costo planificado.</w:t>
            </w:r>
          </w:p>
        </w:tc>
      </w:tr>
      <w:tr>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normativo</w:t>
            </w:r>
          </w:p>
        </w:tc>
        <w:tc>
          <w:tcPr>
            <w:tcW w:type="dxa" w:w="7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Cero observaciones del área Legal sobre la precision de la información contractual mostrada.</w:t>
            </w:r>
          </w:p>
        </w:tc>
      </w:tr>
      <w:tr>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Restriccion actuarial</w:t>
            </w:r>
          </w:p>
        </w:tc>
        <w:tc>
          <w:tcPr>
            <w:tcW w:type="dxa" w:w="7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Validación formal del área Actuarial de que el prototipo no altera el modelo actuarial ni las tarifas reales.</w:t>
            </w:r>
          </w:p>
        </w:tc>
      </w:tr>
      <w:tr>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Comprensión del usuario</w:t>
            </w:r>
          </w:p>
        </w:tc>
        <w:tc>
          <w:tcPr>
            <w:tcW w:type="dxa" w:w="7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Tasa de exito igual o superior al 80% en las tareas de comprensión de cobertura durante las pruebas de usabilidad.</w:t>
            </w:r>
          </w:p>
        </w:tc>
      </w:tr>
      <w:tr>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Trazabilidad</w:t>
            </w:r>
          </w:p>
        </w:tc>
        <w:tc>
          <w:tcPr>
            <w:tcW w:type="dxa" w:w="7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Los ocho entregables finales obligatorios documentados y los tres seguimientos presentados en las fechas establecidas.</w:t>
            </w:r>
          </w:p>
        </w:tc>
      </w:tr>
      <w:tr>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Gestión del equipo</w:t>
            </w:r>
          </w:p>
        </w:tc>
        <w:tc>
          <w:tcPr>
            <w:tcW w:type="dxa" w:w="72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Los cuatro integrantes lideraron al menos una fase técnica, con bitácora y actas de cierre de fase completas.</w:t>
            </w:r>
          </w:p>
        </w:tc>
      </w:tr>
    </w:tbl>
    <w:p>
      <w:r>
        <w:br w:type="page"/>
      </w:r>
    </w:p>
    <w:p>
      <w:pPr>
        <w:pStyle w:val="Heading1"/>
        <w:spacing w:after="160" w:before="320"/>
      </w:pPr>
      <w:r>
        <w:rPr>
          <w:rFonts w:ascii="Calibri" w:cs="Calibri" w:eastAsia="Calibri" w:hAnsi="Calibri"/>
          <w:b/>
          <w:bCs/>
          <w:color w:val="1F4E79"/>
          <w:sz w:val="30"/>
          <w:szCs w:val="30"/>
        </w:rPr>
        <w:t xml:space="preserve">15. Aprobación del acta</w:t>
      </w:r>
    </w:p>
    <w:p>
      <w:pPr>
        <w:spacing w:after="120" w:line="276"/>
        <w:jc w:val="both"/>
      </w:pPr>
      <w:r>
        <w:rPr>
          <w:rFonts w:ascii="Calibri" w:cs="Calibri" w:eastAsia="Calibri" w:hAnsi="Calibri"/>
          <w:b w:val="false"/>
          <w:bCs w:val="false"/>
          <w:i w:val="false"/>
          <w:iCs w:val="false"/>
          <w:color w:val="000000"/>
          <w:sz w:val="22"/>
          <w:szCs w:val="22"/>
        </w:rPr>
        <w:t xml:space="preserve">Con la firma del presente documento, los integrantes del equipo de proyecto declaran conocer y aceptar el alcance, los entregables, las restricciones, el presupuesto y los criterios de exito aquí establecidos, y se comprometen con el cumplimiento de las responsabilidades asignadas a cada rol.</w:t>
      </w:r>
    </w:p>
    <w:p>
      <w:pPr>
        <w:spacing w:after="240"/>
      </w:pP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3800"/>
        <w:gridCol w:w="1400"/>
        <w:gridCol w:w="2080"/>
      </w:tblGrid>
      <w:tr>
        <w:trPr>
          <w:tblHeader/>
        </w:trPr>
        <w:tc>
          <w:tcPr>
            <w:tcW w:type="dxa" w:w="2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Nombre</w:t>
            </w:r>
          </w:p>
        </w:tc>
        <w:tc>
          <w:tcPr>
            <w:tcW w:type="dxa" w:w="38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Rol en el proyecto</w:t>
            </w:r>
          </w:p>
        </w:tc>
        <w:tc>
          <w:tcPr>
            <w:tcW w:type="dxa" w:w="14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Fecha</w:t>
            </w:r>
          </w:p>
        </w:tc>
        <w:tc>
          <w:tcPr>
            <w:tcW w:type="dxa" w:w="20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Firma</w:t>
            </w:r>
          </w:p>
        </w:tc>
      </w:tr>
      <w:tr>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3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Gerente de Proyecto y Líder de Análisis</w:t>
            </w:r>
          </w:p>
        </w:tc>
        <w:tc>
          <w:tcPr>
            <w:tcW w:type="dxa" w:w="1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10/09/2026</w:t>
            </w:r>
          </w:p>
        </w:tc>
        <w:tc>
          <w:tcPr>
            <w:tcW w:type="dxa" w:w="2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r>
      <w:tr>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Esteban Pineda Ardila</w:t>
            </w:r>
          </w:p>
        </w:tc>
        <w:tc>
          <w:tcPr>
            <w:tcW w:type="dxa" w:w="3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Diseño y de Implantación</w:t>
            </w:r>
          </w:p>
        </w:tc>
        <w:tc>
          <w:tcPr>
            <w:tcW w:type="dxa" w:w="1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10/09/2026</w:t>
            </w:r>
          </w:p>
        </w:tc>
        <w:tc>
          <w:tcPr>
            <w:tcW w:type="dxa" w:w="2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r>
      <w:tr>
        <w:tc>
          <w:tcPr>
            <w:tcW w:type="dxa" w:w="2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Marlon Andres Campo</w:t>
            </w:r>
          </w:p>
        </w:tc>
        <w:tc>
          <w:tcPr>
            <w:tcW w:type="dxa" w:w="38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Seguimiento y de Implementación</w:t>
            </w:r>
          </w:p>
        </w:tc>
        <w:tc>
          <w:tcPr>
            <w:tcW w:type="dxa" w:w="14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10/09/2026</w:t>
            </w:r>
          </w:p>
        </w:tc>
        <w:tc>
          <w:tcPr>
            <w:tcW w:type="dxa" w:w="2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r>
      <w:tr>
        <w:tc>
          <w:tcPr>
            <w:tcW w:type="dxa" w:w="2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David Mauricio Torres</w:t>
            </w:r>
          </w:p>
        </w:tc>
        <w:tc>
          <w:tcPr>
            <w:tcW w:type="dxa" w:w="38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Relación con el Cliente y de Pruebas</w:t>
            </w:r>
          </w:p>
        </w:tc>
        <w:tc>
          <w:tcPr>
            <w:tcW w:type="dxa" w:w="14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10/09/2026</w:t>
            </w:r>
          </w:p>
        </w:tc>
        <w:tc>
          <w:tcPr>
            <w:tcW w:type="dxa" w:w="2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r>
      <w:tr>
        <w:tc>
          <w:tcPr>
            <w:tcW w:type="dxa" w:w="28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Fabian Danilo Pérez Díaz</w:t>
            </w:r>
          </w:p>
        </w:tc>
        <w:tc>
          <w:tcPr>
            <w:tcW w:type="dxa" w:w="38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Docente responsable - Aprobación academica</w:t>
            </w:r>
          </w:p>
        </w:tc>
        <w:tc>
          <w:tcPr>
            <w:tcW w:type="dxa" w:w="1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c>
          <w:tcPr>
            <w:tcW w:type="dxa" w:w="208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
            </w:r>
          </w:p>
        </w:tc>
      </w:tr>
    </w:tbl>
    <w:p>
      <w:pPr>
        <w:spacing w:after="320"/>
      </w:pPr>
    </w:p>
    <w:p>
      <w:pPr>
        <w:pStyle w:val="Heading2"/>
        <w:spacing w:after="120" w:before="240"/>
      </w:pPr>
      <w:r>
        <w:rPr>
          <w:rFonts w:ascii="Calibri" w:cs="Calibri" w:eastAsia="Calibri" w:hAnsi="Calibri"/>
          <w:b/>
          <w:bCs/>
          <w:color w:val="1F4E79"/>
          <w:sz w:val="25"/>
          <w:szCs w:val="25"/>
        </w:rPr>
        <w:t xml:space="preserve">Control de versiones del documento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600"/>
        <w:gridCol w:w="3000"/>
        <w:gridCol w:w="4280"/>
      </w:tblGrid>
      <w:tr>
        <w:trPr>
          <w:tblHeader/>
        </w:trPr>
        <w:tc>
          <w:tcPr>
            <w:tcW w:type="dxa" w:w="12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Versión</w:t>
            </w:r>
          </w:p>
        </w:tc>
        <w:tc>
          <w:tcPr>
            <w:tcW w:type="dxa" w:w="1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Fecha</w:t>
            </w:r>
          </w:p>
        </w:tc>
        <w:tc>
          <w:tcPr>
            <w:tcW w:type="dxa" w:w="3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Autor</w:t>
            </w:r>
          </w:p>
        </w:tc>
        <w:tc>
          <w:tcPr>
            <w:tcW w:type="dxa" w:w="42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Descripción del cambio</w:t>
            </w:r>
          </w:p>
        </w:tc>
      </w:tr>
      <w:tr>
        <w:tc>
          <w:tcPr>
            <w:tcW w:type="dxa" w:w="1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w:t>
            </w:r>
          </w:p>
        </w:tc>
        <w:tc>
          <w:tcPr>
            <w:tcW w:type="dxa" w:w="1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10/09/2026</w:t>
            </w:r>
          </w:p>
        </w:tc>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4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Versión inicial aprobada al cierre de la fase de Planeación.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Caso 10 - Monokera  |  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60"/>
      <w:jc w:val="right"/>
    </w:pPr>
    <w:r>
      <w:rPr>
        <w:rFonts w:ascii="Calibri" w:cs="Calibri" w:eastAsia="Calibri" w:hAnsi="Calibri"/>
        <w:color w:val="808080"/>
        <w:sz w:val="16"/>
        <w:szCs w:val="16"/>
      </w:rPr>
      <w:t xml:space="preserve">Acta de Constitución del Proyecto  |  Caso 10 - Monokera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 Caso 10 Monokera</dc:title>
  <dc:creator>Equipo Caso 10 - Monokera</dc:creator>
  <dc:description>Acta de constitución del proyecto integrador, Institución Universitaria EAM</dc:description>
  <cp:lastModifiedBy>Un-named</cp:lastModifiedBy>
  <cp:revision>1</cp:revision>
  <dcterms:created xsi:type="dcterms:W3CDTF">2026-10-16T00:18:07.172Z</dcterms:created>
  <dcterms:modified xsi:type="dcterms:W3CDTF">2026-10-16T00:18:07.172Z</dcterms:modified>
</cp:coreProperties>
</file>

<file path=docProps/custom.xml><?xml version="1.0" encoding="utf-8"?>
<Properties xmlns="http://schemas.openxmlformats.org/officeDocument/2006/custom-properties" xmlns:vt="http://schemas.openxmlformats.org/officeDocument/2006/docPropsVTypes"/>
</file>