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INSTITUCIÓN UNIVERSITARIA EAM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Programa de Ingeniería de Software  |  Desarrollo en Equipo  |  Semestre VIII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PLAN DE PROYECTO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404040"/>
          <w:sz w:val="26"/>
          <w:szCs w:val="26"/>
        </w:rPr>
        <w:t xml:space="preserve">Definición de roles, cronograma y presupuesto</w:t>
      </w:r>
    </w:p>
    <w:tbl>
      <w:tblPr>
        <w:tblW w:type="dxa" w:w="100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400"/>
        <w:gridCol w:w="6680"/>
      </w:tblGrid>
      <w:tr>
        <w:tc>
          <w:tcPr>
            <w:tcW w:type="dxa" w:w="3400"/>
            <w:gridSpan w:val="1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Caso asignado</w:t>
            </w:r>
          </w:p>
        </w:tc>
        <w:tc>
          <w:tcPr>
            <w:tcW w:type="dxa" w:w="668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Caso 10 - Monokera</w:t>
            </w:r>
          </w:p>
        </w:tc>
      </w:tr>
      <w:tr>
        <w:tc>
          <w:tcPr>
            <w:tcW w:type="dxa" w:w="3400"/>
            <w:gridSpan w:val="1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Código del proyecto</w:t>
            </w:r>
          </w:p>
        </w:tc>
        <w:tc>
          <w:tcPr>
            <w:tcW w:type="dxa" w:w="668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PI-2026-2-C10-MONOKERA</w:t>
            </w:r>
          </w:p>
        </w:tc>
      </w:tr>
      <w:tr>
        <w:tc>
          <w:tcPr>
            <w:tcW w:type="dxa" w:w="3400"/>
            <w:gridSpan w:val="1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Versión del documento</w:t>
            </w:r>
          </w:p>
        </w:tc>
        <w:tc>
          <w:tcPr>
            <w:tcW w:type="dxa" w:w="668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400"/>
            <w:gridSpan w:val="1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Fecha de elaboración</w:t>
            </w:r>
          </w:p>
        </w:tc>
        <w:tc>
          <w:tcPr>
            <w:tcW w:type="dxa" w:w="668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 de septiembre de 2026</w:t>
            </w:r>
          </w:p>
        </w:tc>
      </w:tr>
      <w:tr>
        <w:tc>
          <w:tcPr>
            <w:tcW w:type="dxa" w:w="3400"/>
            <w:gridSpan w:val="1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Fase</w:t>
            </w:r>
          </w:p>
        </w:tc>
        <w:tc>
          <w:tcPr>
            <w:tcW w:type="dxa" w:w="668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Fase Administrativa: Planeación</w:t>
            </w:r>
          </w:p>
        </w:tc>
      </w:tr>
      <w:tr>
        <w:tc>
          <w:tcPr>
            <w:tcW w:type="dxa" w:w="3400"/>
            <w:gridSpan w:val="1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Elaborado por</w:t>
            </w:r>
          </w:p>
        </w:tc>
        <w:tc>
          <w:tcPr>
            <w:tcW w:type="dxa" w:w="668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Santiago Arias Mosquera - Gerente de Proyecto</w:t>
            </w:r>
          </w:p>
        </w:tc>
      </w:tr>
      <w:tr>
        <w:tc>
          <w:tcPr>
            <w:tcW w:type="dxa" w:w="3400"/>
            <w:gridSpan w:val="1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Documentos anexos</w:t>
            </w:r>
          </w:p>
        </w:tc>
        <w:tc>
          <w:tcPr>
            <w:tcW w:type="dxa" w:w="668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cronograma-monokera.xlsx | tabla-costos-unitarios-monokera.xlsx</w:t>
            </w:r>
          </w:p>
        </w:tc>
      </w:tr>
      <w:tr>
        <w:tc>
          <w:tcPr>
            <w:tcW w:type="dxa" w:w="3400"/>
            <w:gridSpan w:val="1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Docente responsable</w:t>
            </w:r>
          </w:p>
        </w:tc>
        <w:tc>
          <w:tcPr>
            <w:tcW w:type="dxa" w:w="668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Fabian Danilo Pérez Díaz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1. Alcance del plan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Este plan desarrolla los tres componentes que el caso exige para la fase administrativa de Planeación: la definición de roles, el cronograma y el presupuesto. Se complementa con el acta de constitución, que fija el alcance y las restricciones, y con el esquema metodológico, que define cómo se ejecuta el trabajo. El detalle numérico del cronograma y del presupuesto se entrega en los dos archivos anexos; aquí se presentan las decisiones que los sustentan.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2. Definición de roles y responsabilidades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2.1. Estructura del equipo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equipo está conformado por cuatro integrantes. El caso impone dos condiciones sobre la asignación: cada integrante debe liderar al menos una fase técnica, con liderazgo rotativo de modo que ningún líder se repita respecto de la fase anterior, y ningún integrante puede asumir la totalidad de las responsabilidades. La distribución adoptada es:</w:t>
      </w:r>
    </w:p>
    <w:tbl>
      <w:tblPr>
        <w:tblW w:type="dxa" w:w="100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00"/>
        <w:gridCol w:w="2100"/>
        <w:gridCol w:w="2500"/>
        <w:gridCol w:w="3280"/>
      </w:tblGrid>
      <w:tr>
        <w:trPr>
          <w:tblHeader/>
        </w:trPr>
        <w:tc>
          <w:tcPr>
            <w:tcW w:type="dxa" w:w="220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Integrante</w:t>
            </w:r>
          </w:p>
        </w:tc>
        <w:tc>
          <w:tcPr>
            <w:tcW w:type="dxa" w:w="210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 principal</w:t>
            </w:r>
          </w:p>
        </w:tc>
        <w:tc>
          <w:tcPr>
            <w:tcW w:type="dxa" w:w="250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Fase(s) que lidera</w:t>
            </w:r>
          </w:p>
        </w:tc>
        <w:tc>
          <w:tcPr>
            <w:tcW w:type="dxa" w:w="328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Responsabilidades permanentes</w:t>
            </w:r>
          </w:p>
        </w:tc>
      </w:tr>
      <w:tr>
        <w:tc>
          <w:tcPr>
            <w:tcW w:type="dxa" w:w="22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Santiago Arias Mosquera</w:t>
            </w:r>
          </w:p>
        </w:tc>
        <w:tc>
          <w:tcPr>
            <w:tcW w:type="dxa" w:w="21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Gerente de Proyecto y Líder de Análisis</w:t>
            </w:r>
          </w:p>
        </w:tc>
        <w:tc>
          <w:tcPr>
            <w:tcW w:type="dxa" w:w="25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Planeación (administrativa) y Fase Técnica 1: Análisis</w:t>
            </w:r>
          </w:p>
        </w:tc>
        <w:tc>
          <w:tcPr>
            <w:tcW w:type="dxa" w:w="328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Planeación general, control de la línea base, elicitación de requerimientos, backlog, matriz de riesgos y monitoreo regulatorio.</w:t>
            </w:r>
          </w:p>
        </w:tc>
      </w:tr>
      <w:tr>
        <w:tc>
          <w:tcPr>
            <w:tcW w:type="dxa" w:w="22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Esteban Pineda Ardila</w:t>
            </w:r>
          </w:p>
        </w:tc>
        <w:tc>
          <w:tcPr>
            <w:tcW w:type="dxa" w:w="21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Líder de Diseño</w:t>
            </w:r>
          </w:p>
        </w:tc>
        <w:tc>
          <w:tcPr>
            <w:tcW w:type="dxa" w:w="25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Fase Técnica 2: Diseño y Fase Técnica 5: Implantación</w:t>
            </w:r>
          </w:p>
        </w:tc>
        <w:tc>
          <w:tcPr>
            <w:tcW w:type="dxa" w:w="328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Arquitectura de información, Design System, diseño de interfaz, coherencia visual y cierre documental del producto.</w:t>
            </w:r>
          </w:p>
        </w:tc>
      </w:tr>
      <w:tr>
        <w:tc>
          <w:tcPr>
            <w:tcW w:type="dxa" w:w="22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Marlon Andres Campo</w:t>
            </w:r>
          </w:p>
        </w:tc>
        <w:tc>
          <w:tcPr>
            <w:tcW w:type="dxa" w:w="21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Líder de Seguimiento y Control</w:t>
            </w:r>
          </w:p>
        </w:tc>
        <w:tc>
          <w:tcPr>
            <w:tcW w:type="dxa" w:w="25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Seguimiento (administrativa) y Fase Técnica 3: Implementación</w:t>
            </w:r>
          </w:p>
        </w:tc>
        <w:tc>
          <w:tcPr>
            <w:tcW w:type="dxa" w:w="328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Reportes quincenales, cálculo de los dos indicadores, control del gasto, actualización del backlog y construcción del prototipo.</w:t>
            </w:r>
          </w:p>
        </w:tc>
      </w:tr>
      <w:tr>
        <w:tc>
          <w:tcPr>
            <w:tcW w:type="dxa" w:w="22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David Mauricio Torres</w:t>
            </w:r>
          </w:p>
        </w:tc>
        <w:tc>
          <w:tcPr>
            <w:tcW w:type="dxa" w:w="21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Líder de Relación con el Cliente</w:t>
            </w:r>
          </w:p>
        </w:tc>
        <w:tc>
          <w:tcPr>
            <w:tcW w:type="dxa" w:w="25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Relación con el Cliente (administrativa) y Fase Técnica 4: Pruebas</w:t>
            </w:r>
          </w:p>
        </w:tc>
        <w:tc>
          <w:tcPr>
            <w:tcW w:type="dxa" w:w="328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Bitácora de reuniones, gestión de cambios, manejo de conflictos, relacionamiento con Legal y Marketing, y pruebas de usabilidad.</w:t>
            </w:r>
          </w:p>
        </w:tc>
      </w:tr>
    </w:tbl>
    <w:p>
      <w:pPr>
        <w:spacing w:after="200"/>
      </w:pP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Verificación de la rotación: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Análisis (Santiago) → Diseño (Esteban) → Implementación (Marlon) → Pruebas (David) → Implantación (Esteban). Ningún líder se repite respecto de la fase inmediatamente anterior y los cuatro integrantes lideran al menos una fase técnica.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2.2. Matriz RACI de los entregables del proyecto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 = Responsable de ejecutar | A = Aprueba | C = Consultado | I = Informado</w:t>
      </w:r>
    </w:p>
    <w:tbl>
      <w:tblPr>
        <w:tblW w:type="dxa" w:w="100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480"/>
        <w:gridCol w:w="1400"/>
        <w:gridCol w:w="1400"/>
        <w:gridCol w:w="1400"/>
        <w:gridCol w:w="1400"/>
      </w:tblGrid>
      <w:tr>
        <w:trPr>
          <w:tblHeader/>
        </w:trPr>
        <w:tc>
          <w:tcPr>
            <w:tcW w:type="dxa" w:w="448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Entregable</w:t>
            </w:r>
          </w:p>
        </w:tc>
        <w:tc>
          <w:tcPr>
            <w:tcW w:type="dxa" w:w="140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Santiago</w:t>
            </w:r>
          </w:p>
        </w:tc>
        <w:tc>
          <w:tcPr>
            <w:tcW w:type="dxa" w:w="140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Esteban</w:t>
            </w:r>
          </w:p>
        </w:tc>
        <w:tc>
          <w:tcPr>
            <w:tcW w:type="dxa" w:w="140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Marlon</w:t>
            </w:r>
          </w:p>
        </w:tc>
        <w:tc>
          <w:tcPr>
            <w:tcW w:type="dxa" w:w="140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David</w:t>
            </w:r>
          </w:p>
        </w:tc>
      </w:tr>
      <w:tr>
        <w:tc>
          <w:tcPr>
            <w:tcW w:type="dxa" w:w="448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Acta de constitución del proyecto</w:t>
            </w:r>
          </w:p>
        </w:tc>
        <w:tc>
          <w:tcPr>
            <w:tcW w:type="dxa" w:w="1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 / A</w:t>
            </w:r>
          </w:p>
        </w:tc>
        <w:tc>
          <w:tcPr>
            <w:tcW w:type="dxa" w:w="1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448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Esquema metodológico</w:t>
            </w:r>
          </w:p>
        </w:tc>
        <w:tc>
          <w:tcPr>
            <w:tcW w:type="dxa" w:w="14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 / A</w:t>
            </w:r>
          </w:p>
        </w:tc>
        <w:tc>
          <w:tcPr>
            <w:tcW w:type="dxa" w:w="14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4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4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448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Plan de proyecto, cronograma y presupuesto</w:t>
            </w:r>
          </w:p>
        </w:tc>
        <w:tc>
          <w:tcPr>
            <w:tcW w:type="dxa" w:w="1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 / A</w:t>
            </w:r>
          </w:p>
        </w:tc>
        <w:tc>
          <w:tcPr>
            <w:tcW w:type="dxa" w:w="1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448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Tabla de costos unitarios</w:t>
            </w:r>
          </w:p>
        </w:tc>
        <w:tc>
          <w:tcPr>
            <w:tcW w:type="dxa" w:w="14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4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14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14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448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Identificación de stakeholders</w:t>
            </w:r>
          </w:p>
        </w:tc>
        <w:tc>
          <w:tcPr>
            <w:tcW w:type="dxa" w:w="1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 / A</w:t>
            </w:r>
          </w:p>
        </w:tc>
        <w:tc>
          <w:tcPr>
            <w:tcW w:type="dxa" w:w="1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1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448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Historias de usuario y requerimientos</w:t>
            </w:r>
          </w:p>
        </w:tc>
        <w:tc>
          <w:tcPr>
            <w:tcW w:type="dxa" w:w="14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 / A</w:t>
            </w:r>
          </w:p>
        </w:tc>
        <w:tc>
          <w:tcPr>
            <w:tcW w:type="dxa" w:w="14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4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4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448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Backlog priorizado</w:t>
            </w:r>
          </w:p>
        </w:tc>
        <w:tc>
          <w:tcPr>
            <w:tcW w:type="dxa" w:w="1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 / A</w:t>
            </w:r>
          </w:p>
        </w:tc>
        <w:tc>
          <w:tcPr>
            <w:tcW w:type="dxa" w:w="1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448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Matriz de riesgos</w:t>
            </w:r>
          </w:p>
        </w:tc>
        <w:tc>
          <w:tcPr>
            <w:tcW w:type="dxa" w:w="14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 / A</w:t>
            </w:r>
          </w:p>
        </w:tc>
        <w:tc>
          <w:tcPr>
            <w:tcW w:type="dxa" w:w="14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4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4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448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Modelo de arquitectura y diagramas de actividad</w:t>
            </w:r>
          </w:p>
        </w:tc>
        <w:tc>
          <w:tcPr>
            <w:tcW w:type="dxa" w:w="1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 / A</w:t>
            </w:r>
          </w:p>
        </w:tc>
        <w:tc>
          <w:tcPr>
            <w:tcW w:type="dxa" w:w="1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448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Diseño de interfaz y Design System</w:t>
            </w:r>
          </w:p>
        </w:tc>
        <w:tc>
          <w:tcPr>
            <w:tcW w:type="dxa" w:w="14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4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 / A</w:t>
            </w:r>
          </w:p>
        </w:tc>
        <w:tc>
          <w:tcPr>
            <w:tcW w:type="dxa" w:w="14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4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448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Repositorio, patrones de GUI y estándares</w:t>
            </w:r>
          </w:p>
        </w:tc>
        <w:tc>
          <w:tcPr>
            <w:tcW w:type="dxa" w:w="1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1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 / A</w:t>
            </w:r>
          </w:p>
        </w:tc>
        <w:tc>
          <w:tcPr>
            <w:tcW w:type="dxa" w:w="1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448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Sprint backlog ejecutado</w:t>
            </w:r>
          </w:p>
        </w:tc>
        <w:tc>
          <w:tcPr>
            <w:tcW w:type="dxa" w:w="14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4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4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 / A</w:t>
            </w:r>
          </w:p>
        </w:tc>
        <w:tc>
          <w:tcPr>
            <w:tcW w:type="dxa" w:w="14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448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Plan y reporte de pruebas de usabilidad</w:t>
            </w:r>
          </w:p>
        </w:tc>
        <w:tc>
          <w:tcPr>
            <w:tcW w:type="dxa" w:w="1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1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 / A</w:t>
            </w:r>
          </w:p>
        </w:tc>
      </w:tr>
      <w:tr>
        <w:tc>
          <w:tcPr>
            <w:tcW w:type="dxa" w:w="448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Evidencia de simulación de despliegue</w:t>
            </w:r>
          </w:p>
        </w:tc>
        <w:tc>
          <w:tcPr>
            <w:tcW w:type="dxa" w:w="14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14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 / A</w:t>
            </w:r>
          </w:p>
        </w:tc>
        <w:tc>
          <w:tcPr>
            <w:tcW w:type="dxa" w:w="14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4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448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Guía básica de usuario</w:t>
            </w:r>
          </w:p>
        </w:tc>
        <w:tc>
          <w:tcPr>
            <w:tcW w:type="dxa" w:w="1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 / A</w:t>
            </w:r>
          </w:p>
        </w:tc>
        <w:tc>
          <w:tcPr>
            <w:tcW w:type="dxa" w:w="1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1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448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Reportes de seguimiento 1, 2 y 3</w:t>
            </w:r>
          </w:p>
        </w:tc>
        <w:tc>
          <w:tcPr>
            <w:tcW w:type="dxa" w:w="14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4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14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 / A</w:t>
            </w:r>
          </w:p>
        </w:tc>
        <w:tc>
          <w:tcPr>
            <w:tcW w:type="dxa" w:w="14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448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Bitácora del equipo</w:t>
            </w:r>
          </w:p>
        </w:tc>
        <w:tc>
          <w:tcPr>
            <w:tcW w:type="dxa" w:w="1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1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 / A</w:t>
            </w:r>
          </w:p>
        </w:tc>
      </w:tr>
      <w:tr>
        <w:tc>
          <w:tcPr>
            <w:tcW w:type="dxa" w:w="448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Informe financiero de cierre</w:t>
            </w:r>
          </w:p>
        </w:tc>
        <w:tc>
          <w:tcPr>
            <w:tcW w:type="dxa" w:w="14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4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14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 / A</w:t>
            </w:r>
          </w:p>
        </w:tc>
        <w:tc>
          <w:tcPr>
            <w:tcW w:type="dxa" w:w="14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448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Presentación ejecutiva final</w:t>
            </w:r>
          </w:p>
        </w:tc>
        <w:tc>
          <w:tcPr>
            <w:tcW w:type="dxa" w:w="1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 / A</w:t>
            </w:r>
          </w:p>
        </w:tc>
        <w:tc>
          <w:tcPr>
            <w:tcW w:type="dxa" w:w="1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3. Cronograma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proyecto se desarrolla entre el 27 de agosto y el 19 de noviembre de 2026: doce semanas organizadas en seis quincenas que coinciden con los sprints y con los cortes de medición de los indicadores. El cronograma detallado, con 36 actividades, fechas de inicio y cierre, días hábiles, entregables asociados y diagrama de Gantt, se entrega en el archivo anexo cronograma-monokera.xlsx.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3.1. Resumen por fase</w:t>
      </w:r>
    </w:p>
    <w:tbl>
      <w:tblPr>
        <w:tblW w:type="dxa" w:w="100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1300"/>
        <w:gridCol w:w="1300"/>
        <w:gridCol w:w="2200"/>
        <w:gridCol w:w="2880"/>
      </w:tblGrid>
      <w:tr>
        <w:trPr>
          <w:tblHeader/>
        </w:trPr>
        <w:tc>
          <w:tcPr>
            <w:tcW w:type="dxa" w:w="240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30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Inicio</w:t>
            </w:r>
          </w:p>
        </w:tc>
        <w:tc>
          <w:tcPr>
            <w:tcW w:type="dxa" w:w="130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Cierre</w:t>
            </w:r>
          </w:p>
        </w:tc>
        <w:tc>
          <w:tcPr>
            <w:tcW w:type="dxa" w:w="220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Líder responsable</w:t>
            </w:r>
          </w:p>
        </w:tc>
        <w:tc>
          <w:tcPr>
            <w:tcW w:type="dxa" w:w="288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Entregable principal</w:t>
            </w:r>
          </w:p>
        </w:tc>
      </w:tr>
      <w:tr>
        <w:tc>
          <w:tcPr>
            <w:tcW w:type="dxa" w:w="2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Planeación (administrativa)</w:t>
            </w:r>
          </w:p>
        </w:tc>
        <w:tc>
          <w:tcPr>
            <w:tcW w:type="dxa" w:w="13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27/08/2026</w:t>
            </w:r>
          </w:p>
        </w:tc>
        <w:tc>
          <w:tcPr>
            <w:tcW w:type="dxa" w:w="13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10/09/2026</w:t>
            </w:r>
          </w:p>
        </w:tc>
        <w:tc>
          <w:tcPr>
            <w:tcW w:type="dxa" w:w="22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Santiago Arias Mosquera</w:t>
            </w:r>
          </w:p>
        </w:tc>
        <w:tc>
          <w:tcPr>
            <w:tcW w:type="dxa" w:w="288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Acta, esquema metodológico, cronograma y presupuesto</w:t>
            </w:r>
          </w:p>
        </w:tc>
      </w:tr>
      <w:tr>
        <w:tc>
          <w:tcPr>
            <w:tcW w:type="dxa" w:w="24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Fase Técnica 1: Análisis</w:t>
            </w:r>
          </w:p>
        </w:tc>
        <w:tc>
          <w:tcPr>
            <w:tcW w:type="dxa" w:w="13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03/09/2026</w:t>
            </w:r>
          </w:p>
        </w:tc>
        <w:tc>
          <w:tcPr>
            <w:tcW w:type="dxa" w:w="13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24/09/2026</w:t>
            </w:r>
          </w:p>
        </w:tc>
        <w:tc>
          <w:tcPr>
            <w:tcW w:type="dxa" w:w="22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Santiago Arias Mosquera</w:t>
            </w:r>
          </w:p>
        </w:tc>
        <w:tc>
          <w:tcPr>
            <w:tcW w:type="dxa" w:w="288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Stakeholders, historias de usuario, backlog y riesgos</w:t>
            </w:r>
          </w:p>
        </w:tc>
      </w:tr>
      <w:tr>
        <w:tc>
          <w:tcPr>
            <w:tcW w:type="dxa" w:w="2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Fase Técnica 2: Diseño</w:t>
            </w:r>
          </w:p>
        </w:tc>
        <w:tc>
          <w:tcPr>
            <w:tcW w:type="dxa" w:w="13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25/09/2026</w:t>
            </w:r>
          </w:p>
        </w:tc>
        <w:tc>
          <w:tcPr>
            <w:tcW w:type="dxa" w:w="13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15/10/2026</w:t>
            </w:r>
          </w:p>
        </w:tc>
        <w:tc>
          <w:tcPr>
            <w:tcW w:type="dxa" w:w="22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Esteban Pineda Ardila</w:t>
            </w:r>
          </w:p>
        </w:tc>
        <w:tc>
          <w:tcPr>
            <w:tcW w:type="dxa" w:w="288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Arquitectura, diagramas, modelo de datos e interfaz</w:t>
            </w:r>
          </w:p>
        </w:tc>
      </w:tr>
      <w:tr>
        <w:tc>
          <w:tcPr>
            <w:tcW w:type="dxa" w:w="24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Fase Técnica 3: Implementación</w:t>
            </w:r>
          </w:p>
        </w:tc>
        <w:tc>
          <w:tcPr>
            <w:tcW w:type="dxa" w:w="13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12/10/2026</w:t>
            </w:r>
          </w:p>
        </w:tc>
        <w:tc>
          <w:tcPr>
            <w:tcW w:type="dxa" w:w="13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03/11/2026</w:t>
            </w:r>
          </w:p>
        </w:tc>
        <w:tc>
          <w:tcPr>
            <w:tcW w:type="dxa" w:w="22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Marlon Andres Campo</w:t>
            </w:r>
          </w:p>
        </w:tc>
        <w:tc>
          <w:tcPr>
            <w:tcW w:type="dxa" w:w="288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Prototipo navegable y sprint backlog ejecutado</w:t>
            </w:r>
          </w:p>
        </w:tc>
      </w:tr>
      <w:tr>
        <w:tc>
          <w:tcPr>
            <w:tcW w:type="dxa" w:w="2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Fase Técnica 4: Pruebas</w:t>
            </w:r>
          </w:p>
        </w:tc>
        <w:tc>
          <w:tcPr>
            <w:tcW w:type="dxa" w:w="13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26/10/2026</w:t>
            </w:r>
          </w:p>
        </w:tc>
        <w:tc>
          <w:tcPr>
            <w:tcW w:type="dxa" w:w="13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12/11/2026</w:t>
            </w:r>
          </w:p>
        </w:tc>
        <w:tc>
          <w:tcPr>
            <w:tcW w:type="dxa" w:w="22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David Mauricio Torres</w:t>
            </w:r>
          </w:p>
        </w:tc>
        <w:tc>
          <w:tcPr>
            <w:tcW w:type="dxa" w:w="288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Plan y reporte de pruebas de usabilidad</w:t>
            </w:r>
          </w:p>
        </w:tc>
      </w:tr>
      <w:tr>
        <w:tc>
          <w:tcPr>
            <w:tcW w:type="dxa" w:w="24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Fase Técnica 5: Implantación</w:t>
            </w:r>
          </w:p>
        </w:tc>
        <w:tc>
          <w:tcPr>
            <w:tcW w:type="dxa" w:w="13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10/11/2026</w:t>
            </w:r>
          </w:p>
        </w:tc>
        <w:tc>
          <w:tcPr>
            <w:tcW w:type="dxa" w:w="13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19/11/2026</w:t>
            </w:r>
          </w:p>
        </w:tc>
        <w:tc>
          <w:tcPr>
            <w:tcW w:type="dxa" w:w="22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Esteban Pineda Ardila</w:t>
            </w:r>
          </w:p>
        </w:tc>
        <w:tc>
          <w:tcPr>
            <w:tcW w:type="dxa" w:w="288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Simulación de despliegue y guía de usuario</w:t>
            </w:r>
          </w:p>
        </w:tc>
      </w:tr>
      <w:tr>
        <w:tc>
          <w:tcPr>
            <w:tcW w:type="dxa" w:w="2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Seguimiento (transversal)</w:t>
            </w:r>
          </w:p>
        </w:tc>
        <w:tc>
          <w:tcPr>
            <w:tcW w:type="dxa" w:w="13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27/08/2026</w:t>
            </w:r>
          </w:p>
        </w:tc>
        <w:tc>
          <w:tcPr>
            <w:tcW w:type="dxa" w:w="13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19/11/2026</w:t>
            </w:r>
          </w:p>
        </w:tc>
        <w:tc>
          <w:tcPr>
            <w:tcW w:type="dxa" w:w="22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Marlon Andres Campo</w:t>
            </w:r>
          </w:p>
        </w:tc>
        <w:tc>
          <w:tcPr>
            <w:tcW w:type="dxa" w:w="288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Tres reportes de seguimiento</w:t>
            </w:r>
          </w:p>
        </w:tc>
      </w:tr>
      <w:tr>
        <w:tc>
          <w:tcPr>
            <w:tcW w:type="dxa" w:w="24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Relación con el Cliente (transversal)</w:t>
            </w:r>
          </w:p>
        </w:tc>
        <w:tc>
          <w:tcPr>
            <w:tcW w:type="dxa" w:w="13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27/08/2026</w:t>
            </w:r>
          </w:p>
        </w:tc>
        <w:tc>
          <w:tcPr>
            <w:tcW w:type="dxa" w:w="13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19/11/2026</w:t>
            </w:r>
          </w:p>
        </w:tc>
        <w:tc>
          <w:tcPr>
            <w:tcW w:type="dxa" w:w="22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David Mauricio Torres</w:t>
            </w:r>
          </w:p>
        </w:tc>
        <w:tc>
          <w:tcPr>
            <w:tcW w:type="dxa" w:w="288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Bitácora del equipo</w:t>
            </w:r>
          </w:p>
        </w:tc>
      </w:tr>
    </w:tbl>
    <w:p>
      <w:pPr>
        <w:spacing w:after="200"/>
      </w:pP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Decisión de planificación: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las fases técnicas se solapan deliberadamente entre tres y cuatro días hábiles. Este solapamiento no es un error de planificación sino una holgura estructural: permite que el líder entrante comience el trabajo de preparación de su fase mientras el líder saliente cierra la documentación de la suya, y absorbe retrasos menores sin desplazar la fecha final.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3.2. Quincenas y cortes de seguimiento</w:t>
      </w:r>
    </w:p>
    <w:tbl>
      <w:tblPr>
        <w:tblW w:type="dxa" w:w="100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200"/>
        <w:gridCol w:w="2300"/>
        <w:gridCol w:w="1300"/>
        <w:gridCol w:w="2600"/>
        <w:gridCol w:w="2680"/>
      </w:tblGrid>
      <w:tr>
        <w:trPr>
          <w:tblHeader/>
        </w:trPr>
        <w:tc>
          <w:tcPr>
            <w:tcW w:type="dxa" w:w="120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Quincena</w:t>
            </w:r>
          </w:p>
        </w:tc>
        <w:tc>
          <w:tcPr>
            <w:tcW w:type="dxa" w:w="230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Periodo</w:t>
            </w:r>
          </w:p>
        </w:tc>
        <w:tc>
          <w:tcPr>
            <w:tcW w:type="dxa" w:w="130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60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Fase predominante</w:t>
            </w:r>
          </w:p>
        </w:tc>
        <w:tc>
          <w:tcPr>
            <w:tcW w:type="dxa" w:w="268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Corte de seguimiento</w:t>
            </w:r>
          </w:p>
        </w:tc>
      </w:tr>
      <w:tr>
        <w:tc>
          <w:tcPr>
            <w:tcW w:type="dxa" w:w="12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Q1</w:t>
            </w:r>
          </w:p>
        </w:tc>
        <w:tc>
          <w:tcPr>
            <w:tcW w:type="dxa" w:w="23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27 ago - 10 sep 2026</w:t>
            </w:r>
          </w:p>
        </w:tc>
        <w:tc>
          <w:tcPr>
            <w:tcW w:type="dxa" w:w="13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Sprint 1</w:t>
            </w:r>
          </w:p>
        </w:tc>
        <w:tc>
          <w:tcPr>
            <w:tcW w:type="dxa" w:w="26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Planeación y arranque de Análisis</w:t>
            </w:r>
          </w:p>
        </w:tc>
        <w:tc>
          <w:tcPr>
            <w:tcW w:type="dxa" w:w="268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Q2</w:t>
            </w:r>
          </w:p>
        </w:tc>
        <w:tc>
          <w:tcPr>
            <w:tcW w:type="dxa" w:w="23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11 sep - 24 sep 2026</w:t>
            </w:r>
          </w:p>
        </w:tc>
        <w:tc>
          <w:tcPr>
            <w:tcW w:type="dxa" w:w="13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Sprint 2</w:t>
            </w:r>
          </w:p>
        </w:tc>
        <w:tc>
          <w:tcPr>
            <w:tcW w:type="dxa" w:w="26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Análisis</w:t>
            </w:r>
          </w:p>
        </w:tc>
        <w:tc>
          <w:tcPr>
            <w:tcW w:type="dxa" w:w="268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Seguimiento 1: 21 al 26 de septiembre</w:t>
            </w:r>
          </w:p>
        </w:tc>
      </w:tr>
      <w:tr>
        <w:tc>
          <w:tcPr>
            <w:tcW w:type="dxa" w:w="12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Q3</w:t>
            </w:r>
          </w:p>
        </w:tc>
        <w:tc>
          <w:tcPr>
            <w:tcW w:type="dxa" w:w="23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25 sep - 08 oct 2026</w:t>
            </w:r>
          </w:p>
        </w:tc>
        <w:tc>
          <w:tcPr>
            <w:tcW w:type="dxa" w:w="13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Sprint 3</w:t>
            </w:r>
          </w:p>
        </w:tc>
        <w:tc>
          <w:tcPr>
            <w:tcW w:type="dxa" w:w="26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Diseño</w:t>
            </w:r>
          </w:p>
        </w:tc>
        <w:tc>
          <w:tcPr>
            <w:tcW w:type="dxa" w:w="268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Q4</w:t>
            </w:r>
          </w:p>
        </w:tc>
        <w:tc>
          <w:tcPr>
            <w:tcW w:type="dxa" w:w="23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09 oct - 22 oct 2026</w:t>
            </w:r>
          </w:p>
        </w:tc>
        <w:tc>
          <w:tcPr>
            <w:tcW w:type="dxa" w:w="13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Sprint 4</w:t>
            </w:r>
          </w:p>
        </w:tc>
        <w:tc>
          <w:tcPr>
            <w:tcW w:type="dxa" w:w="26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Diseño e Implementación</w:t>
            </w:r>
          </w:p>
        </w:tc>
        <w:tc>
          <w:tcPr>
            <w:tcW w:type="dxa" w:w="268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Seguimiento 2: 19 al 24 de octubre</w:t>
            </w:r>
          </w:p>
        </w:tc>
      </w:tr>
      <w:tr>
        <w:tc>
          <w:tcPr>
            <w:tcW w:type="dxa" w:w="12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Q5</w:t>
            </w:r>
          </w:p>
        </w:tc>
        <w:tc>
          <w:tcPr>
            <w:tcW w:type="dxa" w:w="23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23 oct - 05 nov 2026</w:t>
            </w:r>
          </w:p>
        </w:tc>
        <w:tc>
          <w:tcPr>
            <w:tcW w:type="dxa" w:w="13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Sprint 5</w:t>
            </w:r>
          </w:p>
        </w:tc>
        <w:tc>
          <w:tcPr>
            <w:tcW w:type="dxa" w:w="26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Implementación y Pruebas</w:t>
            </w:r>
          </w:p>
        </w:tc>
        <w:tc>
          <w:tcPr>
            <w:tcW w:type="dxa" w:w="268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Q6</w:t>
            </w:r>
          </w:p>
        </w:tc>
        <w:tc>
          <w:tcPr>
            <w:tcW w:type="dxa" w:w="23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06 nov - 19 nov 2026</w:t>
            </w:r>
          </w:p>
        </w:tc>
        <w:tc>
          <w:tcPr>
            <w:tcW w:type="dxa" w:w="13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Sprint 6</w:t>
            </w:r>
          </w:p>
        </w:tc>
        <w:tc>
          <w:tcPr>
            <w:tcW w:type="dxa" w:w="26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Pruebas e Implantación</w:t>
            </w:r>
          </w:p>
        </w:tc>
        <w:tc>
          <w:tcPr>
            <w:tcW w:type="dxa" w:w="268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Seguimiento 3: 16 al 21 de noviembre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3.3. Reservas de contingencia del cronograma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cronograma incorpora dos holguras explícitas que no corresponden a trabajo planificado sino a capacidad de absorción de eventos previstos en la matriz de riesgos:</w:t>
      </w:r>
    </w:p>
    <w:tbl>
      <w:tblPr>
        <w:tblW w:type="dxa" w:w="100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"/>
        <w:gridCol w:w="2700"/>
        <w:gridCol w:w="1800"/>
        <w:gridCol w:w="4680"/>
      </w:tblGrid>
      <w:tr>
        <w:trPr>
          <w:tblHeader/>
        </w:trPr>
        <w:tc>
          <w:tcPr>
            <w:tcW w:type="dxa" w:w="90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70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Periodo</w:t>
            </w:r>
          </w:p>
        </w:tc>
        <w:tc>
          <w:tcPr>
            <w:tcW w:type="dxa" w:w="180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Duración</w:t>
            </w:r>
          </w:p>
        </w:tc>
        <w:tc>
          <w:tcPr>
            <w:tcW w:type="dxa" w:w="468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Riesgo que cubre</w:t>
            </w:r>
          </w:p>
        </w:tc>
      </w:tr>
      <w:tr>
        <w:tc>
          <w:tcPr>
            <w:tcW w:type="dxa" w:w="9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X-01</w:t>
            </w:r>
          </w:p>
        </w:tc>
        <w:tc>
          <w:tcPr>
            <w:tcW w:type="dxa" w:w="27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16 al 19 de octubre de 2026</w:t>
            </w:r>
          </w:p>
        </w:tc>
        <w:tc>
          <w:tcPr>
            <w:tcW w:type="dxa" w:w="18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 días hábiles</w:t>
            </w:r>
          </w:p>
        </w:tc>
        <w:tc>
          <w:tcPr>
            <w:tcW w:type="dxa" w:w="468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R-01: cambio regulatorio de la SFC durante la fase de Diseño.</w:t>
            </w:r>
          </w:p>
        </w:tc>
      </w:tr>
      <w:tr>
        <w:tc>
          <w:tcPr>
            <w:tcW w:type="dxa" w:w="9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X-02</w:t>
            </w:r>
          </w:p>
        </w:tc>
        <w:tc>
          <w:tcPr>
            <w:tcW w:type="dxa" w:w="27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12 al 16 de noviembre de 2026</w:t>
            </w:r>
          </w:p>
        </w:tc>
        <w:tc>
          <w:tcPr>
            <w:tcW w:type="dxa" w:w="18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 días hábiles</w:t>
            </w:r>
          </w:p>
        </w:tc>
        <w:tc>
          <w:tcPr>
            <w:tcW w:type="dxa" w:w="468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R-06 y R-12: re-trabajo derivado de hallazgos de las pruebas de usabilidad.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4. Presupuesto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cliente asigna $265.000.000 COP. El equipo distribuyó la totalidad del monto en las seis categorías exigidas por el caso, sin dejar saldo sin asignar y sin exceder el presupuesto. El detalle por concepto, con unidad de medida, cantidad, costo unitario y justificación individual de cada uno de los veintinueve conceptos, se entrega en el archivo anexo tabla-costos-unitarios-monokera.xlsx.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4.1. Distribución por categoría</w:t>
      </w:r>
    </w:p>
    <w:tbl>
      <w:tblPr>
        <w:tblW w:type="dxa" w:w="100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5280"/>
        <w:gridCol w:w="2600"/>
        <w:gridCol w:w="2200"/>
      </w:tblGrid>
      <w:tr>
        <w:trPr>
          <w:tblHeader/>
        </w:trPr>
        <w:tc>
          <w:tcPr>
            <w:tcW w:type="dxa" w:w="528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Categoría presupuestal</w:t>
            </w:r>
          </w:p>
        </w:tc>
        <w:tc>
          <w:tcPr>
            <w:tcW w:type="dxa" w:w="260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Monto (COP)</w:t>
            </w:r>
          </w:p>
        </w:tc>
        <w:tc>
          <w:tcPr>
            <w:tcW w:type="dxa" w:w="220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% del total</w:t>
            </w:r>
          </w:p>
        </w:tc>
      </w:tr>
      <w:tr>
        <w:tc>
          <w:tcPr>
            <w:tcW w:type="dxa" w:w="528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 Horas hombre</w:t>
            </w:r>
          </w:p>
        </w:tc>
        <w:tc>
          <w:tcPr>
            <w:tcW w:type="dxa" w:w="26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$101.880.000</w:t>
            </w:r>
          </w:p>
        </w:tc>
        <w:tc>
          <w:tcPr>
            <w:tcW w:type="dxa" w:w="22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38,4%</w:t>
            </w:r>
          </w:p>
        </w:tc>
      </w:tr>
      <w:tr>
        <w:tc>
          <w:tcPr>
            <w:tcW w:type="dxa" w:w="528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2. Diseño UX/UI</w:t>
            </w:r>
          </w:p>
        </w:tc>
        <w:tc>
          <w:tcPr>
            <w:tcW w:type="dxa" w:w="26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$70.300.000</w:t>
            </w:r>
          </w:p>
        </w:tc>
        <w:tc>
          <w:tcPr>
            <w:tcW w:type="dxa" w:w="22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26,5%</w:t>
            </w:r>
          </w:p>
        </w:tc>
      </w:tr>
      <w:tr>
        <w:tc>
          <w:tcPr>
            <w:tcW w:type="dxa" w:w="528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3. Validación de usabilidad</w:t>
            </w:r>
          </w:p>
        </w:tc>
        <w:tc>
          <w:tcPr>
            <w:tcW w:type="dxa" w:w="26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$22.500.000</w:t>
            </w:r>
          </w:p>
        </w:tc>
        <w:tc>
          <w:tcPr>
            <w:tcW w:type="dxa" w:w="22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8,5%</w:t>
            </w:r>
          </w:p>
        </w:tc>
      </w:tr>
      <w:tr>
        <w:tc>
          <w:tcPr>
            <w:tcW w:type="dxa" w:w="528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4. Gestión del proyecto</w:t>
            </w:r>
          </w:p>
        </w:tc>
        <w:tc>
          <w:tcPr>
            <w:tcW w:type="dxa" w:w="26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$26.480.000</w:t>
            </w:r>
          </w:p>
        </w:tc>
        <w:tc>
          <w:tcPr>
            <w:tcW w:type="dxa" w:w="22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10,0%</w:t>
            </w:r>
          </w:p>
        </w:tc>
      </w:tr>
      <w:tr>
        <w:tc>
          <w:tcPr>
            <w:tcW w:type="dxa" w:w="528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5. Documentación</w:t>
            </w:r>
          </w:p>
        </w:tc>
        <w:tc>
          <w:tcPr>
            <w:tcW w:type="dxa" w:w="26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$17.650.000</w:t>
            </w:r>
          </w:p>
        </w:tc>
        <w:tc>
          <w:tcPr>
            <w:tcW w:type="dxa" w:w="22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6,7%</w:t>
            </w:r>
          </w:p>
        </w:tc>
      </w:tr>
      <w:tr>
        <w:tc>
          <w:tcPr>
            <w:tcW w:type="dxa" w:w="528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6. Contingencias actuariales y regulatorias</w:t>
            </w:r>
          </w:p>
        </w:tc>
        <w:tc>
          <w:tcPr>
            <w:tcW w:type="dxa" w:w="26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$26.190.000</w:t>
            </w:r>
          </w:p>
        </w:tc>
        <w:tc>
          <w:tcPr>
            <w:tcW w:type="dxa" w:w="22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9,9%</w:t>
            </w:r>
          </w:p>
        </w:tc>
      </w:tr>
      <w:tr>
        <w:tc>
          <w:tcPr>
            <w:tcW w:type="dxa" w:w="5280"/>
            <w:gridSpan w:val="1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2600"/>
            <w:gridSpan w:val="1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$265.000.000</w:t>
            </w:r>
          </w:p>
        </w:tc>
        <w:tc>
          <w:tcPr>
            <w:tcW w:type="dxa" w:w="2200"/>
            <w:gridSpan w:val="1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100,0%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4.2. Justificación de las decisiones financieras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caso exige justificar las decisiones financieras desde la perspectiva del cliente o del producto digital. Las tres decisiones de mayor impacto son las siguientes:</w:t>
      </w:r>
    </w:p>
    <w:tbl>
      <w:tblPr>
        <w:tblW w:type="dxa" w:w="100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Decisión</w:t>
            </w:r>
          </w:p>
        </w:tc>
        <w:tc>
          <w:tcPr>
            <w:tcW w:type="dxa" w:w="688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Justificación desde el cliente o el producto</w:t>
            </w:r>
          </w:p>
        </w:tc>
      </w:tr>
      <w:tr>
        <w:tc>
          <w:tcPr>
            <w:tcW w:type="dxa" w:w="32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Concentrar el 64,9% del presupuesto en horas hombre y diseño UX/UI</w:t>
            </w:r>
          </w:p>
        </w:tc>
        <w:tc>
          <w:tcPr>
            <w:tcW w:type="dxa" w:w="688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 producto contratado es un prototipo navegable, no un sistema en operación. No hay infraestructura productiva ni licencias de servidor que financiar: el valor entregado es enteramente trabajo humano de análisis y diseño. Reducir esta partida para financiar otras equivaldría a reducir el producto mismo.</w:t>
            </w:r>
          </w:p>
        </w:tc>
      </w:tr>
      <w:tr>
        <w:tc>
          <w:tcPr>
            <w:tcW w:type="dxa" w:w="32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Destinar $22.500.000 a validación de usabilidad</w:t>
            </w:r>
          </w:p>
        </w:tc>
        <w:tc>
          <w:tcPr>
            <w:tcW w:type="dxa" w:w="688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 cliente no pide una aplicación bonita: pide reducir el abandono de pólizas y las consultas a soporte. Sin evidencia medida de que el asegurado comprende su cobertura, el proyecto no puede demostrar que cumple su objetivo. Esta partida convierte una afirmación de diseño en un dato verificable.</w:t>
            </w:r>
          </w:p>
        </w:tc>
      </w:tr>
      <w:tr>
        <w:tc>
          <w:tcPr>
            <w:tcW w:type="dxa" w:w="32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Reservar $26.190.000 para contingencias actuariales y regulatorias</w:t>
            </w:r>
          </w:p>
        </w:tc>
        <w:tc>
          <w:tcPr>
            <w:tcW w:type="dxa" w:w="688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 caso declara incertidumbre medio-alta y posibilidad explícita de cambios en la circular de la SFC. Un proyecto de seguros sin reserva regulatoria trasladaría cualquier cambio normativo directamente a una desviación presupuestal. Esta partida es la que permite absorber el riesgo R-01 sin exceder el límite del ±10%.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4.3. Distribución del gasto en el tiempo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curva de gasto no es uniforme: sigue la intensidad de trabajo de cada fase. El pico corresponde a la quincena Q5, cuando coinciden la construcción del prototipo y el inicio de las pruebas.</w:t>
      </w:r>
    </w:p>
    <w:tbl>
      <w:tblPr>
        <w:tblW w:type="dxa" w:w="100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800"/>
        <w:gridCol w:w="3000"/>
        <w:gridCol w:w="2800"/>
        <w:gridCol w:w="2480"/>
      </w:tblGrid>
      <w:tr>
        <w:trPr>
          <w:tblHeader/>
        </w:trPr>
        <w:tc>
          <w:tcPr>
            <w:tcW w:type="dxa" w:w="180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Quincena</w:t>
            </w:r>
          </w:p>
        </w:tc>
        <w:tc>
          <w:tcPr>
            <w:tcW w:type="dxa" w:w="300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Costo planificado (CP)</w:t>
            </w:r>
          </w:p>
        </w:tc>
        <w:tc>
          <w:tcPr>
            <w:tcW w:type="dxa" w:w="280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CP acumulado</w:t>
            </w:r>
          </w:p>
        </w:tc>
        <w:tc>
          <w:tcPr>
            <w:tcW w:type="dxa" w:w="248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% ejecutado acumulado</w:t>
            </w:r>
          </w:p>
        </w:tc>
      </w:tr>
      <w:tr>
        <w:tc>
          <w:tcPr>
            <w:tcW w:type="dxa" w:w="18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Q1</w:t>
            </w:r>
          </w:p>
        </w:tc>
        <w:tc>
          <w:tcPr>
            <w:tcW w:type="dxa" w:w="30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$24.800.000</w:t>
            </w:r>
          </w:p>
        </w:tc>
        <w:tc>
          <w:tcPr>
            <w:tcW w:type="dxa" w:w="28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$24.800.000</w:t>
            </w:r>
          </w:p>
        </w:tc>
        <w:tc>
          <w:tcPr>
            <w:tcW w:type="dxa" w:w="248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9,4%</w:t>
            </w:r>
          </w:p>
        </w:tc>
      </w:tr>
      <w:tr>
        <w:tc>
          <w:tcPr>
            <w:tcW w:type="dxa" w:w="18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Q2</w:t>
            </w:r>
          </w:p>
        </w:tc>
        <w:tc>
          <w:tcPr>
            <w:tcW w:type="dxa" w:w="30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$33.600.000</w:t>
            </w:r>
          </w:p>
        </w:tc>
        <w:tc>
          <w:tcPr>
            <w:tcW w:type="dxa" w:w="28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$58.400.000</w:t>
            </w:r>
          </w:p>
        </w:tc>
        <w:tc>
          <w:tcPr>
            <w:tcW w:type="dxa" w:w="248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22,0%</w:t>
            </w:r>
          </w:p>
        </w:tc>
      </w:tr>
      <w:tr>
        <w:tc>
          <w:tcPr>
            <w:tcW w:type="dxa" w:w="18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Q3</w:t>
            </w:r>
          </w:p>
        </w:tc>
        <w:tc>
          <w:tcPr>
            <w:tcW w:type="dxa" w:w="30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$42.300.000</w:t>
            </w:r>
          </w:p>
        </w:tc>
        <w:tc>
          <w:tcPr>
            <w:tcW w:type="dxa" w:w="28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$100.700.000</w:t>
            </w:r>
          </w:p>
        </w:tc>
        <w:tc>
          <w:tcPr>
            <w:tcW w:type="dxa" w:w="248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38,0%</w:t>
            </w:r>
          </w:p>
        </w:tc>
      </w:tr>
      <w:tr>
        <w:tc>
          <w:tcPr>
            <w:tcW w:type="dxa" w:w="18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Q4</w:t>
            </w:r>
          </w:p>
        </w:tc>
        <w:tc>
          <w:tcPr>
            <w:tcW w:type="dxa" w:w="30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$55.800.000</w:t>
            </w:r>
          </w:p>
        </w:tc>
        <w:tc>
          <w:tcPr>
            <w:tcW w:type="dxa" w:w="28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$156.500.000</w:t>
            </w:r>
          </w:p>
        </w:tc>
        <w:tc>
          <w:tcPr>
            <w:tcW w:type="dxa" w:w="248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59,1%</w:t>
            </w:r>
          </w:p>
        </w:tc>
      </w:tr>
      <w:tr>
        <w:tc>
          <w:tcPr>
            <w:tcW w:type="dxa" w:w="18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Q5</w:t>
            </w:r>
          </w:p>
        </w:tc>
        <w:tc>
          <w:tcPr>
            <w:tcW w:type="dxa" w:w="30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$62.400.000</w:t>
            </w:r>
          </w:p>
        </w:tc>
        <w:tc>
          <w:tcPr>
            <w:tcW w:type="dxa" w:w="28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$218.900.000</w:t>
            </w:r>
          </w:p>
        </w:tc>
        <w:tc>
          <w:tcPr>
            <w:tcW w:type="dxa" w:w="248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82,6%</w:t>
            </w:r>
          </w:p>
        </w:tc>
      </w:tr>
      <w:tr>
        <w:tc>
          <w:tcPr>
            <w:tcW w:type="dxa" w:w="18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Q6</w:t>
            </w:r>
          </w:p>
        </w:tc>
        <w:tc>
          <w:tcPr>
            <w:tcW w:type="dxa" w:w="30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$46.100.000</w:t>
            </w:r>
          </w:p>
        </w:tc>
        <w:tc>
          <w:tcPr>
            <w:tcW w:type="dxa" w:w="28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$265.000.000</w:t>
            </w:r>
          </w:p>
        </w:tc>
        <w:tc>
          <w:tcPr>
            <w:tcW w:type="dxa" w:w="248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100,0%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4.4. Control financiero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seguimiento del gasto es quincenal y obligatorio, a cargo del líder de Seguimiento y Control.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desviación se calcula sobre el acumulado, no sobre la quincena aislada, conforme a la fórmula del indicador 2.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límite contractual es de ±10%. El equipo fija un umbral interno de alerta temprana en 7%.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Al superar el umbral de alerta se congelan las contrataciones externas no críticas y se convoca revisión extraordinaria.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Todo cambio regulatorio debe analizarse y documentarse en términos de impacto en tiempo y costo antes de ejecutarse.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Ninguna ampliación de presupuesto procede sin justificación formal aprobada por la Dirección General.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5. Plan de comunicaciones</w:t>
      </w:r>
    </w:p>
    <w:tbl>
      <w:tblPr>
        <w:tblW w:type="dxa" w:w="100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1900"/>
        <w:gridCol w:w="1900"/>
        <w:gridCol w:w="2200"/>
        <w:gridCol w:w="1480"/>
      </w:tblGrid>
      <w:tr>
        <w:trPr>
          <w:tblHeader/>
        </w:trPr>
        <w:tc>
          <w:tcPr>
            <w:tcW w:type="dxa" w:w="260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se comunica</w:t>
            </w:r>
          </w:p>
        </w:tc>
        <w:tc>
          <w:tcPr>
            <w:tcW w:type="dxa" w:w="190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 quién</w:t>
            </w:r>
          </w:p>
        </w:tc>
        <w:tc>
          <w:tcPr>
            <w:tcW w:type="dxa" w:w="190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Frecuencia</w:t>
            </w:r>
          </w:p>
        </w:tc>
        <w:tc>
          <w:tcPr>
            <w:tcW w:type="dxa" w:w="220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Medio</w:t>
            </w:r>
          </w:p>
        </w:tc>
        <w:tc>
          <w:tcPr>
            <w:tcW w:type="dxa" w:w="148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</w:tr>
      <w:tr>
        <w:tc>
          <w:tcPr>
            <w:tcW w:type="dxa" w:w="26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Avance técnico y bloqueos</w:t>
            </w:r>
          </w:p>
        </w:tc>
        <w:tc>
          <w:tcPr>
            <w:tcW w:type="dxa" w:w="19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Equipo interno</w:t>
            </w:r>
          </w:p>
        </w:tc>
        <w:tc>
          <w:tcPr>
            <w:tcW w:type="dxa" w:w="19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Dos veces por semana</w:t>
            </w:r>
          </w:p>
        </w:tc>
        <w:tc>
          <w:tcPr>
            <w:tcW w:type="dxa" w:w="22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Reunión de sincronización y grupo de WhatsApp</w:t>
            </w:r>
          </w:p>
        </w:tc>
        <w:tc>
          <w:tcPr>
            <w:tcW w:type="dxa" w:w="148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Líder de la fase en curso</w:t>
            </w:r>
          </w:p>
        </w:tc>
      </w:tr>
      <w:tr>
        <w:tc>
          <w:tcPr>
            <w:tcW w:type="dxa" w:w="26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Validación de textos contractuales</w:t>
            </w:r>
          </w:p>
        </w:tc>
        <w:tc>
          <w:tcPr>
            <w:tcW w:type="dxa" w:w="19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Área Legal</w:t>
            </w:r>
          </w:p>
        </w:tc>
        <w:tc>
          <w:tcPr>
            <w:tcW w:type="dxa" w:w="19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Semanal</w:t>
            </w:r>
          </w:p>
        </w:tc>
        <w:tc>
          <w:tcPr>
            <w:tcW w:type="dxa" w:w="22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Comité de revisión con acta</w:t>
            </w:r>
          </w:p>
        </w:tc>
        <w:tc>
          <w:tcPr>
            <w:tcW w:type="dxa" w:w="148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David Mauricio Torres</w:t>
            </w:r>
          </w:p>
        </w:tc>
      </w:tr>
      <w:tr>
        <w:tc>
          <w:tcPr>
            <w:tcW w:type="dxa" w:w="26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Validación del simulador y restricciones</w:t>
            </w:r>
          </w:p>
        </w:tc>
        <w:tc>
          <w:tcPr>
            <w:tcW w:type="dxa" w:w="19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Área Actuarial</w:t>
            </w:r>
          </w:p>
        </w:tc>
        <w:tc>
          <w:tcPr>
            <w:tcW w:type="dxa" w:w="19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Quincenal</w:t>
            </w:r>
          </w:p>
        </w:tc>
        <w:tc>
          <w:tcPr>
            <w:tcW w:type="dxa" w:w="22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Comité técnico con acta</w:t>
            </w:r>
          </w:p>
        </w:tc>
        <w:tc>
          <w:tcPr>
            <w:tcW w:type="dxa" w:w="148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Santiago Arias Mosquera</w:t>
            </w:r>
          </w:p>
        </w:tc>
      </w:tr>
      <w:tr>
        <w:tc>
          <w:tcPr>
            <w:tcW w:type="dxa" w:w="26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Coherencia con la plataforma existente</w:t>
            </w:r>
          </w:p>
        </w:tc>
        <w:tc>
          <w:tcPr>
            <w:tcW w:type="dxa" w:w="19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Área de Producto</w:t>
            </w:r>
          </w:p>
        </w:tc>
        <w:tc>
          <w:tcPr>
            <w:tcW w:type="dxa" w:w="19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Semanal</w:t>
            </w:r>
          </w:p>
        </w:tc>
        <w:tc>
          <w:tcPr>
            <w:tcW w:type="dxa" w:w="22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Revisión conjunta de arquitectura</w:t>
            </w:r>
          </w:p>
        </w:tc>
        <w:tc>
          <w:tcPr>
            <w:tcW w:type="dxa" w:w="148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Esteban Pineda Ardila</w:t>
            </w:r>
          </w:p>
        </w:tc>
      </w:tr>
      <w:tr>
        <w:tc>
          <w:tcPr>
            <w:tcW w:type="dxa" w:w="26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Avance del MVP y alcance negociado</w:t>
            </w:r>
          </w:p>
        </w:tc>
        <w:tc>
          <w:tcPr>
            <w:tcW w:type="dxa" w:w="19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Área de Marketing</w:t>
            </w:r>
          </w:p>
        </w:tc>
        <w:tc>
          <w:tcPr>
            <w:tcW w:type="dxa" w:w="19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Quincenal</w:t>
            </w:r>
          </w:p>
        </w:tc>
        <w:tc>
          <w:tcPr>
            <w:tcW w:type="dxa" w:w="22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Revisión de sprint</w:t>
            </w:r>
          </w:p>
        </w:tc>
        <w:tc>
          <w:tcPr>
            <w:tcW w:type="dxa" w:w="148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David Mauricio Torres</w:t>
            </w:r>
          </w:p>
        </w:tc>
      </w:tr>
      <w:tr>
        <w:tc>
          <w:tcPr>
            <w:tcW w:type="dxa" w:w="26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Indicadores, presupuesto y riesgos</w:t>
            </w:r>
          </w:p>
        </w:tc>
        <w:tc>
          <w:tcPr>
            <w:tcW w:type="dxa" w:w="19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Dirección General y docente</w:t>
            </w:r>
          </w:p>
        </w:tc>
        <w:tc>
          <w:tcPr>
            <w:tcW w:type="dxa" w:w="19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 cada corte de seguimiento</w:t>
            </w:r>
          </w:p>
        </w:tc>
        <w:tc>
          <w:tcPr>
            <w:tcW w:type="dxa" w:w="22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Reporte de seguimiento</w:t>
            </w:r>
          </w:p>
        </w:tc>
        <w:tc>
          <w:tcPr>
            <w:tcW w:type="dxa" w:w="148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Marlon Andres Campo</w:t>
            </w:r>
          </w:p>
        </w:tc>
      </w:tr>
      <w:tr>
        <w:tc>
          <w:tcPr>
            <w:tcW w:type="dxa" w:w="26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Hallazgos de usabilidad</w:t>
            </w:r>
          </w:p>
        </w:tc>
        <w:tc>
          <w:tcPr>
            <w:tcW w:type="dxa" w:w="19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Equipo y Marketing</w:t>
            </w:r>
          </w:p>
        </w:tc>
        <w:tc>
          <w:tcPr>
            <w:tcW w:type="dxa" w:w="19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 cierre de la Fase 4</w:t>
            </w:r>
          </w:p>
        </w:tc>
        <w:tc>
          <w:tcPr>
            <w:tcW w:type="dxa" w:w="22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Reporte de pruebas de usabilidad</w:t>
            </w:r>
          </w:p>
        </w:tc>
        <w:tc>
          <w:tcPr>
            <w:tcW w:type="dxa" w:w="148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David Mauricio Torres</w:t>
            </w:r>
          </w:p>
        </w:tc>
      </w:tr>
      <w:tr>
        <w:tc>
          <w:tcPr>
            <w:tcW w:type="dxa" w:w="26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Decisiones y acuerdos del proyecto</w:t>
            </w:r>
          </w:p>
        </w:tc>
        <w:tc>
          <w:tcPr>
            <w:tcW w:type="dxa" w:w="19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Todo el equipo</w:t>
            </w:r>
          </w:p>
        </w:tc>
        <w:tc>
          <w:tcPr>
            <w:tcW w:type="dxa" w:w="19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Continua</w:t>
            </w:r>
          </w:p>
        </w:tc>
        <w:tc>
          <w:tcPr>
            <w:tcW w:type="dxa" w:w="22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Bitácora del equipo</w:t>
            </w:r>
          </w:p>
        </w:tc>
        <w:tc>
          <w:tcPr>
            <w:tcW w:type="dxa" w:w="148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David Mauricio Torres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6. Procedimiento de control de cambios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Toda modificación del alcance, del cronograma o del presupuesto sigue este procedimiento, sin excepción: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Registro de la solicitud en la bitácora del equipo, indicando quién la origina y qué la motiva.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Análisis de impacto en tiempo y costo elaborado por el gerente de proyecto, con cuantificación explícita.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Evaluación del impacto sobre los dos indicadores obligatorios y sobre la matriz de riesgos.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Propuesta de intercambio: si se incorpora alcance nuevo, se identifica qué alcance equivalente sale.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Decisión documentada del patrocinador, o del docente cuando el cambio proviene de una situación caótica simulada.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Actualización de la línea base afectada y notificación a los stakeholders correspondientes.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Registro del cambio en el control de versiones del documento impactado.</w:t>
      </w:r>
    </w:p>
    <w:p>
      <w:pPr>
        <w:spacing w:after="120"/>
      </w:pP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Regla de oro: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ningún cambio se ejecuta antes de completar el paso 5. Un cambio ejecutado sin decisión documentada es, para efectos de este proyecto, un incidente de gestión y debe registrarse como tal.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7. Gestión de la calidad</w:t>
      </w:r>
    </w:p>
    <w:tbl>
      <w:tblPr>
        <w:tblW w:type="dxa" w:w="100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4280"/>
        <w:gridCol w:w="3200"/>
      </w:tblGrid>
      <w:tr>
        <w:trPr>
          <w:tblHeader/>
        </w:trPr>
        <w:tc>
          <w:tcPr>
            <w:tcW w:type="dxa" w:w="260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Aspecto de calidad</w:t>
            </w:r>
          </w:p>
        </w:tc>
        <w:tc>
          <w:tcPr>
            <w:tcW w:type="dxa" w:w="428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Criterio de aceptación</w:t>
            </w:r>
          </w:p>
        </w:tc>
        <w:tc>
          <w:tcPr>
            <w:tcW w:type="dxa" w:w="320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Método de verificación</w:t>
            </w:r>
          </w:p>
        </w:tc>
      </w:tr>
      <w:tr>
        <w:tc>
          <w:tcPr>
            <w:tcW w:type="dxa" w:w="26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Precisión contractual</w:t>
            </w:r>
          </w:p>
        </w:tc>
        <w:tc>
          <w:tcPr>
            <w:tcW w:type="dxa" w:w="428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Cero observaciones del área Legal sobre la información mostrada.</w:t>
            </w:r>
          </w:p>
        </w:tc>
        <w:tc>
          <w:tcPr>
            <w:tcW w:type="dxa" w:w="32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Revisión formal de Legal al cierre de Diseño.</w:t>
            </w:r>
          </w:p>
        </w:tc>
      </w:tr>
      <w:tr>
        <w:tc>
          <w:tcPr>
            <w:tcW w:type="dxa" w:w="26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Restricción actuarial</w:t>
            </w:r>
          </w:p>
        </w:tc>
        <w:tc>
          <w:tcPr>
            <w:tcW w:type="dxa" w:w="428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 prototipo no altera ni expone el modelo actuarial ni las tarifas reales.</w:t>
            </w:r>
          </w:p>
        </w:tc>
        <w:tc>
          <w:tcPr>
            <w:tcW w:type="dxa" w:w="32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Validación del consultor actuarial externo.</w:t>
            </w:r>
          </w:p>
        </w:tc>
      </w:tr>
      <w:tr>
        <w:tc>
          <w:tcPr>
            <w:tcW w:type="dxa" w:w="26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Comprensión del usuario</w:t>
            </w:r>
          </w:p>
        </w:tc>
        <w:tc>
          <w:tcPr>
            <w:tcW w:type="dxa" w:w="428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Tasa de éxito igual o superior al 80% en tareas de comprensión de cobertura.</w:t>
            </w:r>
          </w:p>
        </w:tc>
        <w:tc>
          <w:tcPr>
            <w:tcW w:type="dxa" w:w="32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Pruebas de usabilidad con 12 asegurados reales.</w:t>
            </w:r>
          </w:p>
        </w:tc>
      </w:tr>
      <w:tr>
        <w:tc>
          <w:tcPr>
            <w:tcW w:type="dxa" w:w="26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Accesibilidad</w:t>
            </w:r>
          </w:p>
        </w:tc>
        <w:tc>
          <w:tcPr>
            <w:tcW w:type="dxa" w:w="428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Cumplimiento de WCAG 2.1 nivel AA en las pantallas del MVP.</w:t>
            </w:r>
          </w:p>
        </w:tc>
        <w:tc>
          <w:tcPr>
            <w:tcW w:type="dxa" w:w="32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Auditoría de la consultoría de accesibilidad.</w:t>
            </w:r>
          </w:p>
        </w:tc>
      </w:tr>
      <w:tr>
        <w:tc>
          <w:tcPr>
            <w:tcW w:type="dxa" w:w="26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Coherencia visual</w:t>
            </w:r>
          </w:p>
        </w:tc>
        <w:tc>
          <w:tcPr>
            <w:tcW w:type="dxa" w:w="428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Todas las pantallas construidas sobre el Design System aprobado.</w:t>
            </w:r>
          </w:p>
        </w:tc>
        <w:tc>
          <w:tcPr>
            <w:tcW w:type="dxa" w:w="32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Revisión cruzada de GUI mediante pull requests.</w:t>
            </w:r>
          </w:p>
        </w:tc>
      </w:tr>
      <w:tr>
        <w:tc>
          <w:tcPr>
            <w:tcW w:type="dxa" w:w="26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Navegabilidad del prototipo</w:t>
            </w:r>
          </w:p>
        </w:tc>
        <w:tc>
          <w:tcPr>
            <w:tcW w:type="dxa" w:w="428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Los seis flujos del objeto del caso recorribles de extremo a extremo.</w:t>
            </w:r>
          </w:p>
        </w:tc>
        <w:tc>
          <w:tcPr>
            <w:tcW w:type="dxa" w:w="32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Simulación de uso por una persona ajena al equipo.</w:t>
            </w:r>
          </w:p>
        </w:tc>
      </w:tr>
      <w:tr>
        <w:tc>
          <w:tcPr>
            <w:tcW w:type="dxa" w:w="26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Trazabilidad documental</w:t>
            </w:r>
          </w:p>
        </w:tc>
        <w:tc>
          <w:tcPr>
            <w:tcW w:type="dxa" w:w="428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Cada entregable versionado y con acta de cierre de fase.</w:t>
            </w:r>
          </w:p>
        </w:tc>
        <w:tc>
          <w:tcPr>
            <w:tcW w:type="dxa" w:w="32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Revisión del repositorio documental en cada corte.</w:t>
            </w:r>
          </w:p>
        </w:tc>
      </w:tr>
    </w:tbl>
    <w:p>
      <w:pPr>
        <w:spacing w:after="3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Control de versiones del documento</w:t>
      </w:r>
    </w:p>
    <w:tbl>
      <w:tblPr>
        <w:tblW w:type="dxa" w:w="100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200"/>
        <w:gridCol w:w="1600"/>
        <w:gridCol w:w="3000"/>
        <w:gridCol w:w="4280"/>
      </w:tblGrid>
      <w:tr>
        <w:trPr>
          <w:tblHeader/>
        </w:trPr>
        <w:tc>
          <w:tcPr>
            <w:tcW w:type="dxa" w:w="120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160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300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tcW w:type="dxa" w:w="428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 del cambio</w:t>
            </w:r>
          </w:p>
        </w:tc>
      </w:tr>
      <w:tr>
        <w:tc>
          <w:tcPr>
            <w:tcW w:type="dxa" w:w="12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6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10/09/2026</w:t>
            </w:r>
          </w:p>
        </w:tc>
        <w:tc>
          <w:tcPr>
            <w:tcW w:type="dxa" w:w="30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Santiago Arias Mosquera</w:t>
            </w:r>
          </w:p>
        </w:tc>
        <w:tc>
          <w:tcPr>
            <w:tcW w:type="dxa" w:w="428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Versión inicial aprobada al cierre de la fase de Planeación.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Caso 10 - Monokera  |  Página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6"/>
        <w:szCs w:val="16"/>
      </w:rPr>
      <w:t xml:space="preserve"> de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/>
      </w:pBdr>
      <w:spacing w:after="60"/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Plan de Proyecto  |  Caso 10 - Monokera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  <w:lvl w:ilvl="1" w15:tentative="1">
      <w:start w:val="1"/>
      <w:numFmt w:val="bullet"/>
      <w:lvlText w:val="◦"/>
      <w:lvlJc w:val="left"/>
      <w:pPr>
        <w:ind w:left="863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Proyecto - Caso 10 Monokera</dc:title>
  <dc:creator>Equipo Caso 10 - Monokera</dc:creator>
  <dc:description>Plan de proyecto: roles, cronograma y presupuesto</dc:description>
  <cp:lastModifiedBy>Un-named</cp:lastModifiedBy>
  <cp:revision>1</cp:revision>
  <dcterms:created xsi:type="dcterms:W3CDTF">2026-09-17T22:13:28.022Z</dcterms:created>
  <dcterms:modified xsi:type="dcterms:W3CDTF">2026-09-17T22:13:28.022Z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