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ff8754ae1f3784b687f610da51b669f477d4cad"/>
    <w:p>
      <w:pPr>
        <w:pStyle w:val="Heading1"/>
      </w:pPr>
      <w:r>
        <w:t xml:space="preserve">PropertyOps AI Solo-Founder Investment Memo and Feasibility Stress Test</w:t>
      </w:r>
    </w:p>
    <w:bookmarkStart w:id="24" w:name="executive-verdict"/>
    <w:p>
      <w:pPr>
        <w:pStyle w:val="Heading2"/>
      </w:pPr>
      <w:r>
        <w:t xml:space="preserve">Executive verdict</w:t>
      </w:r>
    </w:p>
    <w:p>
      <w:pPr>
        <w:pStyle w:val="FirstParagraph"/>
      </w:pPr>
      <w:r>
        <w:rPr>
          <w:b/>
          <w:bCs/>
        </w:rPr>
        <w:t xml:space="preserve">Verdict: PASS (for venture investment today), GO (as a solo, capital-efficient build) — contingent on a compliance-first product scope that avoids “tenant screening service” classification risk and on a tighter ICP/pricing design.</w:t>
      </w:r>
      <w:r>
        <w:t xml:space="preserve"> </w:t>
      </w:r>
      <w:r>
        <w:t xml:space="preserve">fileciteturn0file0</w:t>
      </w:r>
    </w:p>
    <w:p>
      <w:pPr>
        <w:pStyle w:val="BodyText"/>
      </w:pPr>
      <w:r>
        <w:t xml:space="preserve">This plan is directionally strong in</w:t>
      </w:r>
      <w:r>
        <w:t xml:space="preserve"> </w:t>
      </w:r>
      <w:r>
        <w:rPr>
          <w:i/>
          <w:iCs/>
        </w:rPr>
        <w:t xml:space="preserve">how</w:t>
      </w:r>
      <w:r>
        <w:t xml:space="preserve"> </w:t>
      </w:r>
      <w:r>
        <w:t xml:space="preserve">it sequences risk (intelligence → assisted ops → gated autonomy) and in recognizing that housing AI is now a live regulatory surface. fileciteturn0file0</w:t>
      </w:r>
      <w:r>
        <w:t xml:space="preserve"> </w:t>
      </w:r>
      <w:hyperlink r:id="rId21">
        <w:r>
          <w:rPr>
            <w:rStyle w:val="Hyperlink"/>
          </w:rPr>
          <w:t xml:space="preserve">[1]</w:t>
        </w:r>
      </w:hyperlink>
      <w:r>
        <w:br/>
      </w:r>
      <w:r>
        <w:t xml:space="preserve">However, the current wedge (“tenant onboarding + document integrity”) is simultaneously (a) the highest trust hurdle and (b) the most likely to trigger</w:t>
      </w:r>
      <w:r>
        <w:t xml:space="preserve"> </w:t>
      </w:r>
      <w:r>
        <w:rPr>
          <w:b/>
          <w:bCs/>
        </w:rPr>
        <w:t xml:space="preserve">consumer reporting / tenant-screening</w:t>
      </w:r>
      <w:r>
        <w:t xml:space="preserve"> </w:t>
      </w:r>
      <w:r>
        <w:t xml:space="preserve">obligations that impose ongoing dispute-handling and identity/eligibility compliance burdens that are hard to sustain as a truly solo operator without either outsourcing or narrowing the product so it is not “furnishing consumer reports.”</w:t>
      </w:r>
      <w:r>
        <w:t xml:space="preserve"> </w:t>
      </w:r>
      <w:hyperlink r:id="rId22">
        <w:r>
          <w:rPr>
            <w:rStyle w:val="Hyperlink"/>
          </w:rPr>
          <w:t xml:space="preserve">[2]</w:t>
        </w:r>
      </w:hyperlink>
    </w:p>
    <w:p>
      <w:pPr>
        <w:pStyle w:val="BodyText"/>
      </w:pPr>
      <w:r>
        <w:t xml:space="preserve">From a VC lens, two issues dominate: (1)</w:t>
      </w:r>
      <w:r>
        <w:t xml:space="preserve"> </w:t>
      </w:r>
      <w:r>
        <w:rPr>
          <w:b/>
          <w:bCs/>
        </w:rPr>
        <w:t xml:space="preserve">regulatory classification uncertainty</w:t>
      </w:r>
      <w:r>
        <w:t xml:space="preserve"> </w:t>
      </w:r>
      <w:r>
        <w:t xml:space="preserve">(FCRA/FHA-adjacent risk) that can force costly operational requirements, and (2)</w:t>
      </w:r>
      <w:r>
        <w:t xml:space="preserve"> </w:t>
      </w:r>
      <w:r>
        <w:rPr>
          <w:b/>
          <w:bCs/>
        </w:rPr>
        <w:t xml:space="preserve">pricing pressure</w:t>
      </w:r>
      <w:r>
        <w:t xml:space="preserve"> </w:t>
      </w:r>
      <w:r>
        <w:t xml:space="preserve">because “solo landlord tools” are structurally cheap (freemium + transaction fees) while this model is premium per-unit SaaS, so the plan must prove outsized ROI to scale efficiently.</w:t>
      </w:r>
      <w:r>
        <w:t xml:space="preserve"> </w:t>
      </w:r>
      <w:hyperlink r:id="rId23">
        <w:r>
          <w:rPr>
            <w:rStyle w:val="Hyperlink"/>
          </w:rPr>
          <w:t xml:space="preserve">[3]</w:t>
        </w:r>
      </w:hyperlink>
    </w:p>
    <w:p>
      <w:pPr>
        <w:pStyle w:val="BodyText"/>
      </w:pPr>
      <w:r>
        <w:t xml:space="preserve">The solo-founder “GO” is still rational because the plan’s Month 9 target range ($8k–$15k MRR) can be reached with dozens (not hundreds) of accounts if the product is kept narrowly scoped (drafting + forensic outputs with strong audit logs) and if compliance gates are treated as product gates, not legal footnotes. fileciteturn0file0</w:t>
      </w:r>
    </w:p>
    <w:bookmarkEnd w:id="24"/>
    <w:bookmarkStart w:id="34" w:name="market-reality-and-competitive-context"/>
    <w:p>
      <w:pPr>
        <w:pStyle w:val="Heading2"/>
      </w:pPr>
      <w:r>
        <w:t xml:space="preserve">Market reality and competitive context</w:t>
      </w:r>
    </w:p>
    <w:p>
      <w:pPr>
        <w:pStyle w:val="FirstParagraph"/>
      </w:pPr>
      <w:r>
        <w:t xml:space="preserve">The plan sizes the total U.S. rental inventory at ~49.4M units and cites ~45.9M renter-occupied units with a ~7.2% rental vacancy rate. That arithmetic checks out against public data:</w:t>
      </w:r>
      <w:r>
        <w:t xml:space="preserve"> </w:t>
      </w:r>
      <w:r>
        <w:rPr>
          <w:b/>
          <w:bCs/>
        </w:rPr>
        <w:t xml:space="preserve">45.867M renter-occupied units in Q4 2025</w:t>
      </w:r>
      <w:r>
        <w:t xml:space="preserve"> </w:t>
      </w:r>
      <w:r>
        <w:t xml:space="preserve">from Federal Reserve Bank of St. Louis (FRED series ERNTOCCUSQ176N) and</w:t>
      </w:r>
      <w:r>
        <w:t xml:space="preserve"> </w:t>
      </w:r>
      <w:r>
        <w:rPr>
          <w:b/>
          <w:bCs/>
        </w:rPr>
        <w:t xml:space="preserve">7.2% rental vacancy in Q4 2025</w:t>
      </w:r>
      <w:r>
        <w:t xml:space="preserve"> </w:t>
      </w:r>
      <w:r>
        <w:t xml:space="preserve">(FRED series RRVRUSQ156N). Computing 45.867M ÷ (1 − 0.072) implies ~49.43M total rental units, consistent with the plan’s ~49.4M figure.</w:t>
      </w:r>
      <w:r>
        <w:t xml:space="preserve"> </w:t>
      </w:r>
      <w:hyperlink r:id="rId25">
        <w:r>
          <w:rPr>
            <w:rStyle w:val="Hyperlink"/>
          </w:rPr>
          <w:t xml:space="preserve">[4]</w:t>
        </w:r>
      </w:hyperlink>
    </w:p>
    <w:p>
      <w:pPr>
        <w:pStyle w:val="BodyText"/>
      </w:pPr>
      <w:r>
        <w:t xml:space="preserve">Where the plan becomes strategically fragile is not “TAM math,” but</w:t>
      </w:r>
      <w:r>
        <w:t xml:space="preserve"> </w:t>
      </w:r>
      <w:r>
        <w:rPr>
          <w:b/>
          <w:bCs/>
        </w:rPr>
        <w:t xml:space="preserve">substitute products</w:t>
      </w:r>
      <w:r>
        <w:t xml:space="preserve"> </w:t>
      </w:r>
      <w:r>
        <w:t xml:space="preserve">and</w:t>
      </w:r>
      <w:r>
        <w:t xml:space="preserve"> </w:t>
      </w:r>
      <w:r>
        <w:rPr>
          <w:b/>
          <w:bCs/>
        </w:rPr>
        <w:t xml:space="preserve">pricing expectations</w:t>
      </w:r>
      <w:r>
        <w:t xml:space="preserve"> </w:t>
      </w:r>
      <w:r>
        <w:t xml:space="preserve">in the 5–150 unit segment:</w:t>
      </w:r>
    </w:p>
    <w:p>
      <w:pPr>
        <w:pStyle w:val="Compact"/>
        <w:numPr>
          <w:ilvl w:val="0"/>
          <w:numId w:val="1001"/>
        </w:numPr>
      </w:pPr>
      <w:r>
        <w:rPr>
          <w:b/>
          <w:bCs/>
        </w:rPr>
        <w:t xml:space="preserve">Low-cost landlord suites</w:t>
      </w:r>
      <w:r>
        <w:t xml:space="preserve">: Stessa</w:t>
      </w:r>
      <w:hyperlink r:id="rId26">
        <w:r>
          <w:rPr>
            <w:rStyle w:val="Hyperlink"/>
          </w:rPr>
          <w:t xml:space="preserve">[5]</w:t>
        </w:r>
      </w:hyperlink>
      <w:r>
        <w:t xml:space="preserve"> </w:t>
      </w:r>
      <w:r>
        <w:t xml:space="preserve">is free at the entry tier with paid tiers around $12–$28/month (with feature unlocks like maintenance requests at paid tiers).</w:t>
      </w:r>
      <w:r>
        <w:t xml:space="preserve"> </w:t>
      </w:r>
      <w:hyperlink r:id="rId23">
        <w:r>
          <w:rPr>
            <w:rStyle w:val="Hyperlink"/>
          </w:rPr>
          <w:t xml:space="preserve">[6]</w:t>
        </w:r>
      </w:hyperlink>
    </w:p>
    <w:p>
      <w:pPr>
        <w:pStyle w:val="Compact"/>
        <w:numPr>
          <w:ilvl w:val="0"/>
          <w:numId w:val="1001"/>
        </w:numPr>
      </w:pPr>
      <w:r>
        <w:rPr>
          <w:b/>
          <w:bCs/>
        </w:rPr>
        <w:t xml:space="preserve">Flat-fee “unlimited units” tools</w:t>
      </w:r>
      <w:r>
        <w:t xml:space="preserve">: RentRedi markets unlimited units with annual plans that can land near ~$12/month equivalent (depending on billing).</w:t>
      </w:r>
      <w:r>
        <w:t xml:space="preserve"> </w:t>
      </w:r>
      <w:hyperlink r:id="rId27">
        <w:r>
          <w:rPr>
            <w:rStyle w:val="Hyperlink"/>
          </w:rPr>
          <w:t xml:space="preserve">[7]</w:t>
        </w:r>
      </w:hyperlink>
    </w:p>
    <w:p>
      <w:pPr>
        <w:pStyle w:val="Compact"/>
        <w:numPr>
          <w:ilvl w:val="0"/>
          <w:numId w:val="1001"/>
        </w:numPr>
      </w:pPr>
      <w:r>
        <w:rPr>
          <w:b/>
          <w:bCs/>
        </w:rPr>
        <w:t xml:space="preserve">Per-unit freemium</w:t>
      </w:r>
      <w:r>
        <w:t xml:space="preserve">: Avail</w:t>
      </w:r>
      <w:hyperlink r:id="rId28">
        <w:r>
          <w:rPr>
            <w:rStyle w:val="Hyperlink"/>
          </w:rPr>
          <w:t xml:space="preserve">[8]</w:t>
        </w:r>
      </w:hyperlink>
      <w:r>
        <w:t xml:space="preserve"> </w:t>
      </w:r>
      <w:r>
        <w:t xml:space="preserve">offers a free tier and a paid tier advertised at $9/unit/month, and it shifts many fees to tenants (e.g., payment fees depending on plan).</w:t>
      </w:r>
      <w:r>
        <w:t xml:space="preserve"> </w:t>
      </w:r>
      <w:hyperlink r:id="rId29">
        <w:r>
          <w:rPr>
            <w:rStyle w:val="Hyperlink"/>
          </w:rPr>
          <w:t xml:space="preserve">[9]</w:t>
        </w:r>
      </w:hyperlink>
    </w:p>
    <w:p>
      <w:pPr>
        <w:pStyle w:val="Compact"/>
        <w:numPr>
          <w:ilvl w:val="0"/>
          <w:numId w:val="1001"/>
        </w:numPr>
      </w:pPr>
      <w:r>
        <w:rPr>
          <w:b/>
          <w:bCs/>
        </w:rPr>
        <w:t xml:space="preserve">Traditional PMS</w:t>
      </w:r>
      <w:r>
        <w:t xml:space="preserve">: Buildium</w:t>
      </w:r>
      <w:hyperlink r:id="rId30">
        <w:r>
          <w:rPr>
            <w:rStyle w:val="Hyperlink"/>
          </w:rPr>
          <w:t xml:space="preserve">[10]</w:t>
        </w:r>
      </w:hyperlink>
      <w:r>
        <w:t xml:space="preserve"> </w:t>
      </w:r>
      <w:r>
        <w:t xml:space="preserve">starts around a monthly base (tiered) and layers add-ons/transaction fees.</w:t>
      </w:r>
      <w:r>
        <w:t xml:space="preserve"> </w:t>
      </w:r>
      <w:hyperlink r:id="rId31">
        <w:r>
          <w:rPr>
            <w:rStyle w:val="Hyperlink"/>
          </w:rPr>
          <w:t xml:space="preserve">[11]</w:t>
        </w:r>
      </w:hyperlink>
    </w:p>
    <w:p>
      <w:pPr>
        <w:pStyle w:val="Compact"/>
        <w:numPr>
          <w:ilvl w:val="0"/>
          <w:numId w:val="1001"/>
        </w:numPr>
      </w:pPr>
      <w:r>
        <w:rPr>
          <w:b/>
          <w:bCs/>
        </w:rPr>
        <w:t xml:space="preserve">Incumbent scale + “AI-native” narrative</w:t>
      </w:r>
      <w:r>
        <w:t xml:space="preserve">: AppFolio</w:t>
      </w:r>
      <w:hyperlink r:id="rId27">
        <w:r>
          <w:rPr>
            <w:rStyle w:val="Hyperlink"/>
          </w:rPr>
          <w:t xml:space="preserve">[12]</w:t>
        </w:r>
      </w:hyperlink>
      <w:r>
        <w:t xml:space="preserve"> </w:t>
      </w:r>
      <w:r>
        <w:t xml:space="preserve">reported</w:t>
      </w:r>
      <w:r>
        <w:t xml:space="preserve"> </w:t>
      </w:r>
      <w:r>
        <w:rPr>
          <w:b/>
          <w:bCs/>
        </w:rPr>
        <w:t xml:space="preserve">9.4M</w:t>
      </w:r>
      <w:r>
        <w:t xml:space="preserve"> </w:t>
      </w:r>
      <w:r>
        <w:t xml:space="preserve">units under management as of year-end 2025 / Q4 2025 reporting, underscoring how quickly an incumbent can amortize AI features across a huge base if it chooses to compete.</w:t>
      </w:r>
      <w:r>
        <w:t xml:space="preserve"> </w:t>
      </w:r>
      <w:hyperlink r:id="rId32">
        <w:r>
          <w:rPr>
            <w:rStyle w:val="Hyperlink"/>
          </w:rPr>
          <w:t xml:space="preserve">[13]</w:t>
        </w:r>
      </w:hyperlink>
    </w:p>
    <w:p>
      <w:pPr>
        <w:pStyle w:val="Compact"/>
        <w:numPr>
          <w:ilvl w:val="0"/>
          <w:numId w:val="1001"/>
        </w:numPr>
      </w:pPr>
      <w:r>
        <w:rPr>
          <w:b/>
          <w:bCs/>
        </w:rPr>
        <w:t xml:space="preserve">Mid-market value option</w:t>
      </w:r>
      <w:r>
        <w:t xml:space="preserve">: Yardi</w:t>
      </w:r>
      <w:hyperlink r:id="rId33">
        <w:r>
          <w:rPr>
            <w:rStyle w:val="Hyperlink"/>
          </w:rPr>
          <w:t xml:space="preserve">[14]</w:t>
        </w:r>
      </w:hyperlink>
      <w:r>
        <w:t xml:space="preserve"> </w:t>
      </w:r>
      <w:r>
        <w:t xml:space="preserve">offers Yardi Breeze with pricing starting at</w:t>
      </w:r>
      <w:r>
        <w:t xml:space="preserve"> </w:t>
      </w:r>
      <w:r>
        <w:rPr>
          <w:b/>
          <w:bCs/>
        </w:rPr>
        <w:t xml:space="preserve">$1/unit/month with a $100 minimum</w:t>
      </w:r>
      <w:r>
        <w:t xml:space="preserve"> </w:t>
      </w:r>
      <w:r>
        <w:t xml:space="preserve">(annual agreement), including maintenance and tenant communication features.</w:t>
      </w:r>
      <w:r>
        <w:t xml:space="preserve"> </w:t>
      </w:r>
      <w:hyperlink r:id="rId33">
        <w:r>
          <w:rPr>
            <w:rStyle w:val="Hyperlink"/>
          </w:rPr>
          <w:t xml:space="preserve">[15]</w:t>
        </w:r>
      </w:hyperlink>
    </w:p>
    <w:p>
      <w:pPr>
        <w:pStyle w:val="FirstParagraph"/>
      </w:pPr>
      <w:r>
        <w:t xml:space="preserve">This matters because PropertyOps AI’s Operator pricing ($8–$10/unit/mo) is</w:t>
      </w:r>
      <w:r>
        <w:t xml:space="preserve"> </w:t>
      </w:r>
      <w:r>
        <w:rPr>
          <w:b/>
          <w:bCs/>
        </w:rPr>
        <w:t xml:space="preserve">not competing with “software cost,”</w:t>
      </w:r>
      <w:r>
        <w:t xml:space="preserve"> </w:t>
      </w:r>
      <w:r>
        <w:t xml:space="preserve">it is competing with “software + a patchwork of cheap tools + human habit.” fileciteturn0file0</w:t>
      </w:r>
      <w:r>
        <w:t xml:space="preserve"> </w:t>
      </w:r>
      <w:hyperlink r:id="rId23">
        <w:r>
          <w:rPr>
            <w:rStyle w:val="Hyperlink"/>
          </w:rPr>
          <w:t xml:space="preserve">[16]</w:t>
        </w:r>
      </w:hyperlink>
      <w:r>
        <w:br/>
      </w:r>
      <w:r>
        <w:t xml:space="preserve">That means</w:t>
      </w:r>
      <w:r>
        <w:t xml:space="preserve"> </w:t>
      </w:r>
      <w:r>
        <w:rPr>
          <w:b/>
          <w:bCs/>
        </w:rPr>
        <w:t xml:space="preserve">product-led growth will only work</w:t>
      </w:r>
      <w:r>
        <w:t xml:space="preserve"> </w:t>
      </w:r>
      <w:r>
        <w:t xml:space="preserve">if time-savings and risk reduction are clearly demonstrated in the first week, not the first quarter.</w:t>
      </w:r>
    </w:p>
    <w:bookmarkEnd w:id="34"/>
    <w:bookmarkStart w:id="43" w:name="X83d0cc30b64ace72ac4de47d6eeeebf68fd29bb"/>
    <w:p>
      <w:pPr>
        <w:pStyle w:val="Heading2"/>
      </w:pPr>
      <w:r>
        <w:t xml:space="preserve">Monetization and unit economics stress test</w:t>
      </w:r>
    </w:p>
    <w:bookmarkStart w:id="36" w:name="the-plans-implied-per-account-economics"/>
    <w:p>
      <w:pPr>
        <w:pStyle w:val="Heading3"/>
      </w:pPr>
      <w:r>
        <w:t xml:space="preserve">The plan’s implied per-account economics</w:t>
      </w:r>
    </w:p>
    <w:p>
      <w:pPr>
        <w:pStyle w:val="FirstParagraph"/>
      </w:pPr>
      <w:r>
        <w:t xml:space="preserve">The plan’s featured example is a</w:t>
      </w:r>
      <w:r>
        <w:t xml:space="preserve"> </w:t>
      </w:r>
      <w:r>
        <w:rPr>
          <w:b/>
          <w:bCs/>
        </w:rPr>
        <w:t xml:space="preserve">30-unit Operator account</w:t>
      </w:r>
      <w:r>
        <w:t xml:space="preserve"> </w:t>
      </w:r>
      <w:r>
        <w:t xml:space="preserve">at ~$9/unit/mo, implying</w:t>
      </w:r>
      <w:r>
        <w:t xml:space="preserve"> </w:t>
      </w:r>
      <w:r>
        <w:rPr>
          <w:b/>
          <w:bCs/>
        </w:rPr>
        <w:t xml:space="preserve">$270/mo subscription</w:t>
      </w:r>
      <w:r>
        <w:t xml:space="preserve"> </w:t>
      </w:r>
      <w:r>
        <w:t xml:space="preserve">plus</w:t>
      </w:r>
      <w:r>
        <w:t xml:space="preserve"> </w:t>
      </w:r>
      <w:r>
        <w:rPr>
          <w:b/>
          <w:bCs/>
        </w:rPr>
        <w:t xml:space="preserve">~$75/mo</w:t>
      </w:r>
      <w:r>
        <w:t xml:space="preserve"> </w:t>
      </w:r>
      <w:r>
        <w:t xml:space="preserve">in application intake revenue (3 applications/mo × $25 avg), for</w:t>
      </w:r>
      <w:r>
        <w:t xml:space="preserve"> </w:t>
      </w:r>
      <w:r>
        <w:rPr>
          <w:b/>
          <w:bCs/>
        </w:rPr>
        <w:t xml:space="preserve">~$345/mo</w:t>
      </w:r>
      <w:r>
        <w:t xml:space="preserve"> </w:t>
      </w:r>
      <w:r>
        <w:t xml:space="preserve">total, or</w:t>
      </w:r>
      <w:r>
        <w:t xml:space="preserve"> </w:t>
      </w:r>
      <w:r>
        <w:rPr>
          <w:b/>
          <w:bCs/>
        </w:rPr>
        <w:t xml:space="preserve">~$4,140 annual value per account</w:t>
      </w:r>
      <w:r>
        <w:t xml:space="preserve">. fileciteturn0file0</w:t>
      </w:r>
    </w:p>
    <w:p>
      <w:pPr>
        <w:pStyle w:val="BodyText"/>
      </w:pPr>
      <w:r>
        <w:t xml:space="preserve">That model is directionally plausible, but only if the</w:t>
      </w:r>
      <w:r>
        <w:t xml:space="preserve"> </w:t>
      </w:r>
      <w:r>
        <w:rPr>
          <w:b/>
          <w:bCs/>
        </w:rPr>
        <w:t xml:space="preserve">application volume assumption</w:t>
      </w:r>
      <w:r>
        <w:t xml:space="preserve"> </w:t>
      </w:r>
      <w:r>
        <w:t xml:space="preserve">is stable. To stress test it, translate “3 applications per month” into real-world leasing velocity:</w:t>
      </w:r>
    </w:p>
    <w:p>
      <w:pPr>
        <w:pStyle w:val="Compact"/>
        <w:numPr>
          <w:ilvl w:val="0"/>
          <w:numId w:val="1002"/>
        </w:numPr>
      </w:pPr>
      <w:r>
        <w:t xml:space="preserve">A portfolio’s “applications/month” is a function of</w:t>
      </w:r>
      <w:r>
        <w:t xml:space="preserve"> </w:t>
      </w:r>
      <w:r>
        <w:rPr>
          <w:b/>
          <w:bCs/>
        </w:rPr>
        <w:t xml:space="preserve">turnover</w:t>
      </w:r>
      <w:r>
        <w:t xml:space="preserve"> </w:t>
      </w:r>
      <w:r>
        <w:t xml:space="preserve">×</w:t>
      </w:r>
      <w:r>
        <w:t xml:space="preserve"> </w:t>
      </w:r>
      <w:r>
        <w:rPr>
          <w:b/>
          <w:bCs/>
        </w:rPr>
        <w:t xml:space="preserve">units</w:t>
      </w:r>
      <w:r>
        <w:t xml:space="preserve"> </w:t>
      </w:r>
      <w:r>
        <w:t xml:space="preserve">×</w:t>
      </w:r>
      <w:r>
        <w:t xml:space="preserve"> </w:t>
      </w:r>
      <w:r>
        <w:rPr>
          <w:b/>
          <w:bCs/>
        </w:rPr>
        <w:t xml:space="preserve">applicants per vacancy</w:t>
      </w:r>
      <w:r>
        <w:t xml:space="preserve">. Even if renter mobility is stable rather than rising, leasing still generates application events, and vacancy is nonzero at macro scale.</w:t>
      </w:r>
      <w:r>
        <w:t xml:space="preserve"> </w:t>
      </w:r>
      <w:hyperlink r:id="rId35">
        <w:r>
          <w:rPr>
            <w:rStyle w:val="Hyperlink"/>
          </w:rPr>
          <w:t xml:space="preserve">[17]</w:t>
        </w:r>
      </w:hyperlink>
    </w:p>
    <w:p>
      <w:pPr>
        <w:pStyle w:val="FirstParagraph"/>
      </w:pPr>
      <w:r>
        <w:t xml:space="preserve">A conservative sensitivity for a 30-unit portfolio shows the unit economics don’t collapse if applications drop, but the account count requirement rises:</w:t>
      </w:r>
    </w:p>
    <w:p>
      <w:pPr>
        <w:pStyle w:val="Compact"/>
        <w:numPr>
          <w:ilvl w:val="0"/>
          <w:numId w:val="1003"/>
        </w:numPr>
      </w:pPr>
      <w:r>
        <w:rPr>
          <w:b/>
          <w:bCs/>
        </w:rPr>
        <w:t xml:space="preserve">Subscription-only</w:t>
      </w:r>
      <w:r>
        <w:t xml:space="preserve"> </w:t>
      </w:r>
      <w:r>
        <w:t xml:space="preserve">at $270/mo requires</w:t>
      </w:r>
      <w:r>
        <w:t xml:space="preserve"> </w:t>
      </w:r>
      <w:r>
        <w:rPr>
          <w:b/>
          <w:bCs/>
        </w:rPr>
        <w:t xml:space="preserve">~56 accounts</w:t>
      </w:r>
      <w:r>
        <w:t xml:space="preserve"> </w:t>
      </w:r>
      <w:r>
        <w:t xml:space="preserve">for $15k MRR (15,000 ÷ 270).</w:t>
      </w:r>
    </w:p>
    <w:p>
      <w:pPr>
        <w:pStyle w:val="Compact"/>
        <w:numPr>
          <w:ilvl w:val="0"/>
          <w:numId w:val="1003"/>
        </w:numPr>
      </w:pPr>
      <w:r>
        <w:t xml:space="preserve">If intake averages only</w:t>
      </w:r>
      <w:r>
        <w:t xml:space="preserve"> </w:t>
      </w:r>
      <w:r>
        <w:rPr>
          <w:b/>
          <w:bCs/>
        </w:rPr>
        <w:t xml:space="preserve">~$20/mo</w:t>
      </w:r>
      <w:r>
        <w:t xml:space="preserve"> </w:t>
      </w:r>
      <w:r>
        <w:t xml:space="preserve">(low turnover and/or low applicant volume), total might be ~$290/mo, requiring</w:t>
      </w:r>
      <w:r>
        <w:t xml:space="preserve"> </w:t>
      </w:r>
      <w:r>
        <w:rPr>
          <w:b/>
          <w:bCs/>
        </w:rPr>
        <w:t xml:space="preserve">~52 accounts</w:t>
      </w:r>
      <w:r>
        <w:t xml:space="preserve">.</w:t>
      </w:r>
    </w:p>
    <w:p>
      <w:pPr>
        <w:pStyle w:val="Compact"/>
        <w:numPr>
          <w:ilvl w:val="0"/>
          <w:numId w:val="1003"/>
        </w:numPr>
      </w:pPr>
      <w:r>
        <w:t xml:space="preserve">If intake is closer to the plan’s ~$75/mo, total ~$345/mo requires</w:t>
      </w:r>
      <w:r>
        <w:t xml:space="preserve"> </w:t>
      </w:r>
      <w:r>
        <w:rPr>
          <w:b/>
          <w:bCs/>
        </w:rPr>
        <w:t xml:space="preserve">~44 accounts</w:t>
      </w:r>
      <w:r>
        <w:t xml:space="preserve">.</w:t>
      </w:r>
    </w:p>
    <w:p>
      <w:pPr>
        <w:pStyle w:val="FirstParagraph"/>
      </w:pPr>
      <w:r>
        <w:t xml:space="preserve">These ranges align with the plan’s Month 9 target of</w:t>
      </w:r>
      <w:r>
        <w:t xml:space="preserve"> </w:t>
      </w:r>
      <w:r>
        <w:rPr>
          <w:b/>
          <w:bCs/>
        </w:rPr>
        <w:t xml:space="preserve">~30–50 accounts</w:t>
      </w:r>
      <w:r>
        <w:t xml:space="preserve"> </w:t>
      </w:r>
      <w:r>
        <w:t xml:space="preserve">for</w:t>
      </w:r>
      <w:r>
        <w:t xml:space="preserve"> </w:t>
      </w:r>
      <w:r>
        <w:rPr>
          <w:b/>
          <w:bCs/>
        </w:rPr>
        <w:t xml:space="preserve">$8k–$15k MRR</w:t>
      </w:r>
      <w:r>
        <w:t xml:space="preserve">, but the</w:t>
      </w:r>
      <w:r>
        <w:t xml:space="preserve"> </w:t>
      </w:r>
      <w:r>
        <w:rPr>
          <w:i/>
          <w:iCs/>
        </w:rPr>
        <w:t xml:space="preserve">upper end</w:t>
      </w:r>
      <w:r>
        <w:t xml:space="preserve"> </w:t>
      </w:r>
      <w:r>
        <w:t xml:space="preserve">(~$15k) is much more robust if it’s achieved primarily through</w:t>
      </w:r>
      <w:r>
        <w:t xml:space="preserve"> </w:t>
      </w:r>
      <w:r>
        <w:rPr>
          <w:b/>
          <w:bCs/>
        </w:rPr>
        <w:t xml:space="preserve">subscription ARPU</w:t>
      </w:r>
      <w:r>
        <w:t xml:space="preserve"> </w:t>
      </w:r>
      <w:r>
        <w:t xml:space="preserve">and secondarily through intake fees that can be jurisdiction-constrained. fileciteturn0file0</w:t>
      </w:r>
    </w:p>
    <w:bookmarkEnd w:id="36"/>
    <w:bookmarkStart w:id="39" w:name="X92116e3d2cdbf5bd11e9f8566d3012a396ffc88"/>
    <w:p>
      <w:pPr>
        <w:pStyle w:val="Heading3"/>
      </w:pPr>
      <w:r>
        <w:t xml:space="preserve">Hybrid SaaS + transaction fees versus “solo landlord tools”</w:t>
      </w:r>
    </w:p>
    <w:p>
      <w:pPr>
        <w:pStyle w:val="FirstParagraph"/>
      </w:pPr>
      <w:r>
        <w:t xml:space="preserve">PropertyOps AI proposes a hybrid model: per-unit SaaS plus per-application intake fees (where permitted). fileciteturn0file0</w:t>
      </w:r>
      <w:r>
        <w:br/>
      </w:r>
      <w:r>
        <w:t xml:space="preserve">In the small-landlord market, hybridization is already common, but typically in landlord-friendly ways:</w:t>
      </w:r>
    </w:p>
    <w:p>
      <w:pPr>
        <w:pStyle w:val="Compact"/>
        <w:numPr>
          <w:ilvl w:val="0"/>
          <w:numId w:val="1004"/>
        </w:numPr>
      </w:pPr>
      <w:r>
        <w:t xml:space="preserve">Avail uses a freemium tier and monetizes via paid tier + fees (e.g., rent payment fees depending on plan).</w:t>
      </w:r>
      <w:r>
        <w:t xml:space="preserve"> </w:t>
      </w:r>
      <w:hyperlink r:id="rId29">
        <w:r>
          <w:rPr>
            <w:rStyle w:val="Hyperlink"/>
          </w:rPr>
          <w:t xml:space="preserve">[18]</w:t>
        </w:r>
      </w:hyperlink>
    </w:p>
    <w:p>
      <w:pPr>
        <w:pStyle w:val="Compact"/>
        <w:numPr>
          <w:ilvl w:val="0"/>
          <w:numId w:val="1004"/>
        </w:numPr>
      </w:pPr>
      <w:r>
        <w:t xml:space="preserve">TurboTenant’s model is largely subscription (annual) plus screening economics and feature bundling; its marketing positions “fraud detection” as part of the application/screening flow.</w:t>
      </w:r>
      <w:r>
        <w:t xml:space="preserve"> </w:t>
      </w:r>
      <w:hyperlink r:id="rId37">
        <w:r>
          <w:rPr>
            <w:rStyle w:val="Hyperlink"/>
          </w:rPr>
          <w:t xml:space="preserve">[19]</w:t>
        </w:r>
      </w:hyperlink>
    </w:p>
    <w:p>
      <w:pPr>
        <w:pStyle w:val="Compact"/>
        <w:numPr>
          <w:ilvl w:val="0"/>
          <w:numId w:val="1004"/>
        </w:numPr>
      </w:pPr>
      <w:r>
        <w:t xml:space="preserve">TenantCloud monetizes via tiered plans plus payment processing fees and add-ons; it also partners for income/fraud verification (including Snappt-powered verification).</w:t>
      </w:r>
      <w:r>
        <w:t xml:space="preserve"> </w:t>
      </w:r>
      <w:hyperlink r:id="rId38">
        <w:r>
          <w:rPr>
            <w:rStyle w:val="Hyperlink"/>
          </w:rPr>
          <w:t xml:space="preserve">[20]</w:t>
        </w:r>
      </w:hyperlink>
    </w:p>
    <w:p>
      <w:pPr>
        <w:pStyle w:val="FirstParagraph"/>
      </w:pPr>
      <w:r>
        <w:rPr>
          <w:b/>
          <w:bCs/>
        </w:rPr>
        <w:t xml:space="preserve">Implication:</w:t>
      </w:r>
      <w:r>
        <w:t xml:space="preserve"> </w:t>
      </w:r>
      <w:r>
        <w:t xml:space="preserve">A transaction fee by itself is not novel; the novelty must be in (a) audit-grade forensic output, (b) workflow integration, and (c) measurable reduction in fraud/eviction risk or labor hours. fileciteturn0file0</w:t>
      </w:r>
    </w:p>
    <w:bookmarkEnd w:id="39"/>
    <w:bookmarkStart w:id="42" w:name="X95097a9ef0b5e91c586ada5d98a4ad2e6b8ef7c"/>
    <w:p>
      <w:pPr>
        <w:pStyle w:val="Heading3"/>
      </w:pPr>
      <w:r>
        <w:t xml:space="preserve">The eviction-cost anchor is real, but not sufficient on its own</w:t>
      </w:r>
    </w:p>
    <w:p>
      <w:pPr>
        <w:pStyle w:val="FirstParagraph"/>
      </w:pPr>
      <w:r>
        <w:t xml:space="preserve">The plan anchors ROI on eviction costs of ~$3,500–$7,000. fileciteturn0file0</w:t>
      </w:r>
      <w:r>
        <w:br/>
      </w:r>
      <w:r>
        <w:t xml:space="preserve">External references commonly cite similar totals when combining lost rent, legal costs, and turnover/damage, though ranges vary materially by jurisdiction and case complexity.</w:t>
      </w:r>
      <w:r>
        <w:t xml:space="preserve"> </w:t>
      </w:r>
      <w:hyperlink r:id="rId40">
        <w:r>
          <w:rPr>
            <w:rStyle w:val="Hyperlink"/>
          </w:rPr>
          <w:t xml:space="preserve">[21]</w:t>
        </w:r>
      </w:hyperlink>
    </w:p>
    <w:p>
      <w:pPr>
        <w:pStyle w:val="BodyText"/>
      </w:pPr>
      <w:r>
        <w:t xml:space="preserve">This is a</w:t>
      </w:r>
      <w:r>
        <w:t xml:space="preserve"> </w:t>
      </w:r>
      <w:r>
        <w:rPr>
          <w:i/>
          <w:iCs/>
        </w:rPr>
        <w:t xml:space="preserve">good</w:t>
      </w:r>
      <w:r>
        <w:t xml:space="preserve"> </w:t>
      </w:r>
      <w:r>
        <w:t xml:space="preserve">pricing anchor because it reframes spend as “insurance against catastrophic downside,” but it doesn’t eliminate the</w:t>
      </w:r>
      <w:r>
        <w:t xml:space="preserve"> </w:t>
      </w:r>
      <w:r>
        <w:rPr>
          <w:b/>
          <w:bCs/>
        </w:rPr>
        <w:t xml:space="preserve">initial trust hurdle</w:t>
      </w:r>
      <w:r>
        <w:t xml:space="preserve">: landlords must (1) route highly sensitive PII documents through a new vendor and (2) accept that the output is reliable enough to alter decisions. That hurdle is higher in tenant screening than in maintenance drafting.</w:t>
      </w:r>
    </w:p>
    <w:p>
      <w:pPr>
        <w:pStyle w:val="BodyText"/>
      </w:pPr>
      <w:r>
        <w:rPr>
          <w:b/>
          <w:bCs/>
        </w:rPr>
        <w:t xml:space="preserve">Solo-viable pricing inference:</w:t>
      </w:r>
      <w:r>
        <w:t xml:space="preserve"> </w:t>
      </w:r>
      <w:r>
        <w:t xml:space="preserve">subscription pricing must be justified primarily on</w:t>
      </w:r>
      <w:r>
        <w:t xml:space="preserve"> </w:t>
      </w:r>
      <w:r>
        <w:rPr>
          <w:b/>
          <w:bCs/>
        </w:rPr>
        <w:t xml:space="preserve">time saved and operational throughput</w:t>
      </w:r>
      <w:r>
        <w:t xml:space="preserve"> </w:t>
      </w:r>
      <w:r>
        <w:t xml:space="preserve">(Tony), while Laura’s intake fees function best as a</w:t>
      </w:r>
      <w:r>
        <w:t xml:space="preserve"> </w:t>
      </w:r>
      <w:r>
        <w:rPr>
          <w:b/>
          <w:bCs/>
        </w:rPr>
        <w:t xml:space="preserve">conversion wedge</w:t>
      </w:r>
      <w:r>
        <w:t xml:space="preserve"> </w:t>
      </w:r>
      <w:r>
        <w:t xml:space="preserve">or add-on rather than the core growth engine—especially where application fee caps or bundling requirements compress that revenue stream.</w:t>
      </w:r>
      <w:r>
        <w:t xml:space="preserve"> </w:t>
      </w:r>
      <w:hyperlink r:id="rId41">
        <w:r>
          <w:rPr>
            <w:rStyle w:val="Hyperlink"/>
          </w:rPr>
          <w:t xml:space="preserve">[22]</w:t>
        </w:r>
      </w:hyperlink>
    </w:p>
    <w:bookmarkEnd w:id="42"/>
    <w:bookmarkEnd w:id="43"/>
    <w:bookmarkStart w:id="50" w:name="X362373e3d2cf37d9f66152e2cb7efe49d135deb"/>
    <w:p>
      <w:pPr>
        <w:pStyle w:val="Heading2"/>
      </w:pPr>
      <w:r>
        <w:t xml:space="preserve">Solo-founder scalability and execution burden</w:t>
      </w:r>
    </w:p>
    <w:bookmarkStart w:id="46" w:name="X4e0e2b382829434921b5be1a697953e91ad7f4a"/>
    <w:p>
      <w:pPr>
        <w:pStyle w:val="Heading3"/>
      </w:pPr>
      <w:r>
        <w:t xml:space="preserve">“Compute-only” gross margins are plausible, but the plan underweights compliance and support labor</w:t>
      </w:r>
    </w:p>
    <w:p>
      <w:pPr>
        <w:pStyle w:val="FirstParagraph"/>
      </w:pPr>
      <w:r>
        <w:t xml:space="preserve">The plan projects</w:t>
      </w:r>
      <w:r>
        <w:t xml:space="preserve"> </w:t>
      </w:r>
      <w:r>
        <w:rPr>
          <w:b/>
          <w:bCs/>
        </w:rPr>
        <w:t xml:space="preserve">85%–90% gross margins</w:t>
      </w:r>
      <w:r>
        <w:t xml:space="preserve"> </w:t>
      </w:r>
      <w:r>
        <w:t xml:space="preserve">on the premise that Laura (stateless analysis) and Tony (drafting) “run on compute alone,” with no fulfillment staff or human reviewers required. fileciteturn0file0</w:t>
      </w:r>
    </w:p>
    <w:p>
      <w:pPr>
        <w:pStyle w:val="BodyText"/>
      </w:pPr>
      <w:r>
        <w:t xml:space="preserve">Two stressors complicate this for a solo operator:</w:t>
      </w:r>
    </w:p>
    <w:p>
      <w:pPr>
        <w:pStyle w:val="Compact"/>
        <w:numPr>
          <w:ilvl w:val="0"/>
          <w:numId w:val="1005"/>
        </w:numPr>
      </w:pPr>
      <w:r>
        <w:rPr>
          <w:b/>
          <w:bCs/>
        </w:rPr>
        <w:t xml:space="preserve">The category norm includes human support where fraud stakes are high.</w:t>
      </w:r>
      <w:r>
        <w:t xml:space="preserve"> </w:t>
      </w:r>
      <w:r>
        <w:t xml:space="preserve">For example, Snappt</w:t>
      </w:r>
      <w:hyperlink r:id="rId44">
        <w:r>
          <w:rPr>
            <w:rStyle w:val="Hyperlink"/>
          </w:rPr>
          <w:t xml:space="preserve">[23]</w:t>
        </w:r>
      </w:hyperlink>
      <w:r>
        <w:t xml:space="preserve"> </w:t>
      </w:r>
      <w:r>
        <w:t xml:space="preserve">explicitly markets a combination of “technology and human expertise” for fraud detection and income verification—an implicit signal that accuracy and dispute handling often need human escalation.</w:t>
      </w:r>
      <w:r>
        <w:t xml:space="preserve"> </w:t>
      </w:r>
      <w:hyperlink r:id="rId45">
        <w:r>
          <w:rPr>
            <w:rStyle w:val="Hyperlink"/>
          </w:rPr>
          <w:t xml:space="preserve">[24]</w:t>
        </w:r>
      </w:hyperlink>
    </w:p>
    <w:p>
      <w:pPr>
        <w:pStyle w:val="Compact"/>
        <w:numPr>
          <w:ilvl w:val="0"/>
          <w:numId w:val="1005"/>
        </w:numPr>
      </w:pPr>
      <w:r>
        <w:rPr>
          <w:b/>
          <w:bCs/>
        </w:rPr>
        <w:t xml:space="preserve">If the product is treated as tenant screening, “compute-only” is structurally false.</w:t>
      </w:r>
      <w:r>
        <w:t xml:space="preserve"> </w:t>
      </w:r>
      <w:r>
        <w:t xml:space="preserve">FCRA-linked obligations (disputes, permissible purpose checks, adverse action support) can create ongoing operational workflows. The FTC explicitly includes “tenant screening services” in the class of consumer reporting agencies covered by the FCRA regime.</w:t>
      </w:r>
      <w:r>
        <w:t xml:space="preserve"> </w:t>
      </w:r>
      <w:hyperlink r:id="rId30">
        <w:r>
          <w:rPr>
            <w:rStyle w:val="Hyperlink"/>
          </w:rPr>
          <w:t xml:space="preserve">[25]</w:t>
        </w:r>
      </w:hyperlink>
    </w:p>
    <w:p>
      <w:pPr>
        <w:pStyle w:val="FirstParagraph"/>
      </w:pPr>
      <w:r>
        <w:t xml:space="preserve">A realistic solo-friendly interpretation is:</w:t>
      </w:r>
      <w:r>
        <w:t xml:space="preserve"> </w:t>
      </w:r>
      <w:r>
        <w:rPr>
          <w:i/>
          <w:iCs/>
        </w:rPr>
        <w:t xml:space="preserve">compute-only delivery can produce high software gross margins, but only if the company avoids being operationally forced into regulated “screening service” workflows or high-touch dispute resolution at scale.</w:t>
      </w:r>
    </w:p>
    <w:bookmarkEnd w:id="46"/>
    <w:bookmarkStart w:id="48" w:name="Xcbca5d4df0898d89407193f146c32c9bd713158"/>
    <w:p>
      <w:pPr>
        <w:pStyle w:val="Heading3"/>
      </w:pPr>
      <w:r>
        <w:t xml:space="preserve">OpenClaw orchestration as solo technical debt</w:t>
      </w:r>
    </w:p>
    <w:p>
      <w:pPr>
        <w:pStyle w:val="FirstParagraph"/>
      </w:pPr>
      <w:r>
        <w:t xml:space="preserve">OpenClaw is described as a proprietary multi-agent control plane that routes tasks, manages state, and enforces approval gates—i.e., it is core infrastructure rather than a feature. fileciteturn0file0</w:t>
      </w:r>
    </w:p>
    <w:p>
      <w:pPr>
        <w:pStyle w:val="BodyText"/>
      </w:pPr>
      <w:r>
        <w:t xml:space="preserve">For a solo developer, proprietary orchestration creates three predictable burdens:</w:t>
      </w:r>
    </w:p>
    <w:p>
      <w:pPr>
        <w:pStyle w:val="Compact"/>
        <w:numPr>
          <w:ilvl w:val="0"/>
          <w:numId w:val="1006"/>
        </w:numPr>
      </w:pPr>
      <w:r>
        <w:rPr>
          <w:b/>
          <w:bCs/>
        </w:rPr>
        <w:t xml:space="preserve">Reliability tax:</w:t>
      </w:r>
      <w:r>
        <w:t xml:space="preserve"> </w:t>
      </w:r>
      <w:r>
        <w:t xml:space="preserve">stateful orchestration layers are where edge cases accumulate (retries, idempotency, concurrency, message ordering, partial failures).</w:t>
      </w:r>
    </w:p>
    <w:p>
      <w:pPr>
        <w:pStyle w:val="Compact"/>
        <w:numPr>
          <w:ilvl w:val="0"/>
          <w:numId w:val="1006"/>
        </w:numPr>
      </w:pPr>
      <w:r>
        <w:rPr>
          <w:b/>
          <w:bCs/>
        </w:rPr>
        <w:t xml:space="preserve">Security tax:</w:t>
      </w:r>
      <w:r>
        <w:t xml:space="preserve"> </w:t>
      </w:r>
      <w:r>
        <w:t xml:space="preserve">your “state” includes PII artifacts (documents, tenant messages), so orchestration becomes part of the security boundary.</w:t>
      </w:r>
      <w:r>
        <w:t xml:space="preserve"> </w:t>
      </w:r>
      <w:hyperlink r:id="rId47">
        <w:r>
          <w:rPr>
            <w:rStyle w:val="Hyperlink"/>
          </w:rPr>
          <w:t xml:space="preserve">[26]</w:t>
        </w:r>
      </w:hyperlink>
    </w:p>
    <w:p>
      <w:pPr>
        <w:pStyle w:val="Compact"/>
        <w:numPr>
          <w:ilvl w:val="0"/>
          <w:numId w:val="1006"/>
        </w:numPr>
      </w:pPr>
      <w:r>
        <w:rPr>
          <w:b/>
          <w:bCs/>
        </w:rPr>
        <w:t xml:space="preserve">Velocity tax:</w:t>
      </w:r>
      <w:r>
        <w:t xml:space="preserve"> </w:t>
      </w:r>
      <w:r>
        <w:t xml:space="preserve">you are maintaining a platform</w:t>
      </w:r>
      <w:r>
        <w:t xml:space="preserve"> </w:t>
      </w:r>
      <w:r>
        <w:rPr>
          <w:i/>
          <w:iCs/>
        </w:rPr>
        <w:t xml:space="preserve">and</w:t>
      </w:r>
      <w:r>
        <w:t xml:space="preserve"> </w:t>
      </w:r>
      <w:r>
        <w:t xml:space="preserve">building product.</w:t>
      </w:r>
    </w:p>
    <w:p>
      <w:pPr>
        <w:pStyle w:val="FirstParagraph"/>
      </w:pPr>
      <w:r>
        <w:t xml:space="preserve">A solo-feasible mitigation is treating OpenClaw as a minimal, boring workflow layer (queues + audit logs + human approval gates), not as a differentiated product. The differentiation must remain in (a) forensic reporting outputs, (b) workflow UX, and (c) integrations.</w:t>
      </w:r>
    </w:p>
    <w:bookmarkEnd w:id="48"/>
    <w:bookmarkStart w:id="49" w:name="Xa1a71981a610cad617f6830c4233d5c9e9d415e"/>
    <w:p>
      <w:pPr>
        <w:pStyle w:val="Heading3"/>
      </w:pPr>
      <w:r>
        <w:t xml:space="preserve">Execution capacity math against Month 9 targets</w:t>
      </w:r>
    </w:p>
    <w:p>
      <w:pPr>
        <w:pStyle w:val="FirstParagraph"/>
      </w:pPr>
      <w:r>
        <w:t xml:space="preserve">The plan targets up to</w:t>
      </w:r>
      <w:r>
        <w:t xml:space="preserve"> </w:t>
      </w:r>
      <w:r>
        <w:rPr>
          <w:b/>
          <w:bCs/>
        </w:rPr>
        <w:t xml:space="preserve">30–50 accounts</w:t>
      </w:r>
      <w:r>
        <w:t xml:space="preserve"> </w:t>
      </w:r>
      <w:r>
        <w:t xml:space="preserve">by Month 9 and $8k–$15k MRR, enabled by the Phase 1→3 rollout and gating autonomy behind labeled data and confidence calibration. fileciteturn0file0</w:t>
      </w:r>
    </w:p>
    <w:p>
      <w:pPr>
        <w:pStyle w:val="BodyText"/>
      </w:pPr>
      <w:r>
        <w:t xml:space="preserve">A solo founder can support this scale</w:t>
      </w:r>
      <w:r>
        <w:t xml:space="preserve"> </w:t>
      </w:r>
      <w:r>
        <w:rPr>
          <w:i/>
          <w:iCs/>
        </w:rPr>
        <w:t xml:space="preserve">if and only if</w:t>
      </w:r>
      <w:r>
        <w:t xml:space="preserve"> </w:t>
      </w:r>
      <w:r>
        <w:t xml:space="preserve">the product remains primarily:</w:t>
      </w:r>
    </w:p>
    <w:p>
      <w:pPr>
        <w:pStyle w:val="Compact"/>
        <w:numPr>
          <w:ilvl w:val="0"/>
          <w:numId w:val="1007"/>
        </w:numPr>
      </w:pPr>
      <w:r>
        <w:rPr>
          <w:b/>
          <w:bCs/>
        </w:rPr>
        <w:t xml:space="preserve">Drafting + approval</w:t>
      </w:r>
      <w:r>
        <w:t xml:space="preserve"> </w:t>
      </w:r>
      <w:r>
        <w:t xml:space="preserve">(not autonomous dispatch at scale),</w:t>
      </w:r>
    </w:p>
    <w:p>
      <w:pPr>
        <w:pStyle w:val="Compact"/>
        <w:numPr>
          <w:ilvl w:val="0"/>
          <w:numId w:val="1007"/>
        </w:numPr>
      </w:pPr>
      <w:r>
        <w:rPr>
          <w:b/>
          <w:bCs/>
        </w:rPr>
        <w:t xml:space="preserve">Self-serve onboarding</w:t>
      </w:r>
      <w:r>
        <w:t xml:space="preserve"> </w:t>
      </w:r>
      <w:r>
        <w:t xml:space="preserve">with narrow integrations,</w:t>
      </w:r>
    </w:p>
    <w:p>
      <w:pPr>
        <w:pStyle w:val="Compact"/>
        <w:numPr>
          <w:ilvl w:val="0"/>
          <w:numId w:val="1007"/>
        </w:numPr>
      </w:pPr>
      <w:r>
        <w:rPr>
          <w:b/>
          <w:bCs/>
        </w:rPr>
        <w:t xml:space="preserve">Strong audit logs</w:t>
      </w:r>
      <w:r>
        <w:t xml:space="preserve"> </w:t>
      </w:r>
      <w:r>
        <w:t xml:space="preserve">that reduce support burden by making “why did it do that?” answerable from the interface. fileciteturn0file0</w:t>
      </w:r>
    </w:p>
    <w:p>
      <w:pPr>
        <w:pStyle w:val="FirstParagraph"/>
      </w:pPr>
      <w:r>
        <w:t xml:space="preserve">The moment the product crosses into “we are responsible for time-critical prioritization or dispatch,” support expectations and liability management become inherently less solo-friendly.</w:t>
      </w:r>
    </w:p>
    <w:bookmarkEnd w:id="49"/>
    <w:bookmarkEnd w:id="50"/>
    <w:bookmarkStart w:id="53" w:name="defensibility-and-moats"/>
    <w:p>
      <w:pPr>
        <w:pStyle w:val="Heading2"/>
      </w:pPr>
      <w:r>
        <w:t xml:space="preserve">Defensibility and moats</w:t>
      </w:r>
    </w:p>
    <w:bookmarkStart w:id="51" w:name="Xfe8606ebe97134e5edab5420c88f590e13fdfb3"/>
    <w:p>
      <w:pPr>
        <w:pStyle w:val="Heading3"/>
      </w:pPr>
      <w:r>
        <w:t xml:space="preserve">Memory and feedback moat: meaningful, but later than the plan implies</w:t>
      </w:r>
    </w:p>
    <w:p>
      <w:pPr>
        <w:pStyle w:val="FirstParagraph"/>
      </w:pPr>
      <w:r>
        <w:t xml:space="preserve">The plan asserts that every document report and every human-approved work order trains “governed memory,” compounding classification advantage across accounts. fileciteturn0file0</w:t>
      </w:r>
    </w:p>
    <w:p>
      <w:pPr>
        <w:pStyle w:val="BodyText"/>
      </w:pPr>
      <w:r>
        <w:t xml:space="preserve">In practice, moats in this category separate into two kinds:</w:t>
      </w:r>
    </w:p>
    <w:p>
      <w:pPr>
        <w:pStyle w:val="Compact"/>
        <w:numPr>
          <w:ilvl w:val="0"/>
          <w:numId w:val="1008"/>
        </w:numPr>
      </w:pPr>
      <w:r>
        <w:rPr>
          <w:b/>
          <w:bCs/>
        </w:rPr>
        <w:t xml:space="preserve">Per-account operational memory</w:t>
      </w:r>
      <w:r>
        <w:t xml:space="preserve"> </w:t>
      </w:r>
      <w:r>
        <w:t xml:space="preserve">(vendor contacts, property-specific templates, resident context). This mainly creates</w:t>
      </w:r>
      <w:r>
        <w:t xml:space="preserve"> </w:t>
      </w:r>
      <w:r>
        <w:rPr>
          <w:b/>
          <w:bCs/>
        </w:rPr>
        <w:t xml:space="preserve">switching costs</w:t>
      </w:r>
      <w:r>
        <w:t xml:space="preserve"> </w:t>
      </w:r>
      <w:r>
        <w:t xml:space="preserve">and better UX, not a cross-market moat.</w:t>
      </w:r>
    </w:p>
    <w:p>
      <w:pPr>
        <w:pStyle w:val="Compact"/>
        <w:numPr>
          <w:ilvl w:val="0"/>
          <w:numId w:val="1008"/>
        </w:numPr>
      </w:pPr>
      <w:r>
        <w:rPr>
          <w:b/>
          <w:bCs/>
        </w:rPr>
        <w:t xml:space="preserve">Cross-account learning</w:t>
      </w:r>
      <w:r>
        <w:t xml:space="preserve"> </w:t>
      </w:r>
      <w:r>
        <w:t xml:space="preserve">(better classification prompts, better fraud heuristics) that generalizes. This requires</w:t>
      </w:r>
      <w:r>
        <w:t xml:space="preserve"> </w:t>
      </w:r>
      <w:r>
        <w:rPr>
          <w:b/>
          <w:bCs/>
        </w:rPr>
        <w:t xml:space="preserve">enough diverse labeled examples</w:t>
      </w:r>
      <w:r>
        <w:t xml:space="preserve"> </w:t>
      </w:r>
      <w:r>
        <w:t xml:space="preserve">to outperform commodity LLM prompts and commodity screening/fraud solutions.</w:t>
      </w:r>
    </w:p>
    <w:p>
      <w:pPr>
        <w:pStyle w:val="FirstParagraph"/>
      </w:pPr>
      <w:r>
        <w:t xml:space="preserve">A reasonable threshold for “meaningful advantage” is on the order of</w:t>
      </w:r>
      <w:r>
        <w:t xml:space="preserve"> </w:t>
      </w:r>
      <w:r>
        <w:rPr>
          <w:b/>
          <w:bCs/>
        </w:rPr>
        <w:t xml:space="preserve">tens of thousands of labeled events</w:t>
      </w:r>
      <w:r>
        <w:t xml:space="preserve"> </w:t>
      </w:r>
      <w:r>
        <w:t xml:space="preserve">(maintenance triage decisions, fraud flags with outcomes), which likely requires</w:t>
      </w:r>
      <w:r>
        <w:t xml:space="preserve"> </w:t>
      </w:r>
      <w:r>
        <w:rPr>
          <w:b/>
          <w:bCs/>
        </w:rPr>
        <w:t xml:space="preserve">well over 50 accounts</w:t>
      </w:r>
      <w:r>
        <w:t xml:space="preserve"> </w:t>
      </w:r>
      <w:r>
        <w:t xml:space="preserve">unless the accounts are high-volume. This is why incumbents with large unit bases (e.g., AppFolio’s 9.4M units) are structurally advantaged in data collection if they choose to compete in the same problem space.</w:t>
      </w:r>
      <w:r>
        <w:t xml:space="preserve"> </w:t>
      </w:r>
      <w:hyperlink r:id="rId32">
        <w:r>
          <w:rPr>
            <w:rStyle w:val="Hyperlink"/>
          </w:rPr>
          <w:t xml:space="preserve">[13]</w:t>
        </w:r>
      </w:hyperlink>
    </w:p>
    <w:p>
      <w:pPr>
        <w:pStyle w:val="BodyText"/>
      </w:pPr>
      <w:r>
        <w:rPr>
          <w:b/>
          <w:bCs/>
        </w:rPr>
        <w:t xml:space="preserve">Solo-friendly implication:</w:t>
      </w:r>
      <w:r>
        <w:t xml:space="preserve"> </w:t>
      </w:r>
      <w:r>
        <w:t xml:space="preserve">In the first 12 months, position the “moat” less as proprietary ML and more as</w:t>
      </w:r>
      <w:r>
        <w:t xml:space="preserve"> </w:t>
      </w:r>
      <w:r>
        <w:rPr>
          <w:b/>
          <w:bCs/>
        </w:rPr>
        <w:t xml:space="preserve">auditability + workflow embedding</w:t>
      </w:r>
      <w:r>
        <w:t xml:space="preserve">, because those are achievable earlier and are defensible via product design and integrations rather than sheer data scale. fileciteturn0file0</w:t>
      </w:r>
    </w:p>
    <w:bookmarkEnd w:id="51"/>
    <w:bookmarkStart w:id="52" w:name="Xb1cff9415f916a714a5f81a35abeccf585a9532"/>
    <w:p>
      <w:pPr>
        <w:pStyle w:val="Heading3"/>
      </w:pPr>
      <w:r>
        <w:t xml:space="preserve">Switching cost claims: plausible for Tony, weaker for Laura</w:t>
      </w:r>
    </w:p>
    <w:p>
      <w:pPr>
        <w:pStyle w:val="FirstParagraph"/>
      </w:pPr>
      <w:r>
        <w:t xml:space="preserve">The plan argues switching costs arise because churn requires rebuilding vendor relationships, communication history, and classification logic—made stronger by moving from episodic onboarding (Laura) into daily operations (Tony). fileciteturn0file0</w:t>
      </w:r>
    </w:p>
    <w:p>
      <w:pPr>
        <w:pStyle w:val="BodyText"/>
      </w:pPr>
      <w:r>
        <w:t xml:space="preserve">This is directionally correct, but it is</w:t>
      </w:r>
      <w:r>
        <w:t xml:space="preserve"> </w:t>
      </w:r>
      <w:r>
        <w:rPr>
          <w:b/>
          <w:bCs/>
        </w:rPr>
        <w:t xml:space="preserve">uneven by module</w:t>
      </w:r>
      <w:r>
        <w:t xml:space="preserve">:</w:t>
      </w:r>
    </w:p>
    <w:p>
      <w:pPr>
        <w:pStyle w:val="Compact"/>
        <w:numPr>
          <w:ilvl w:val="0"/>
          <w:numId w:val="1009"/>
        </w:numPr>
      </w:pPr>
      <w:r>
        <w:rPr>
          <w:b/>
          <w:bCs/>
        </w:rPr>
        <w:t xml:space="preserve">Laura-only usage is episodic</w:t>
      </w:r>
      <w:r>
        <w:t xml:space="preserve">: landlords can churn after a leasing cycle without breaking daily habit loops. Switching costs are weak unless Laura becomes a system of record (audit logs, dispute-proof evidence trail).</w:t>
      </w:r>
    </w:p>
    <w:p>
      <w:pPr>
        <w:pStyle w:val="Compact"/>
        <w:numPr>
          <w:ilvl w:val="0"/>
          <w:numId w:val="1009"/>
        </w:numPr>
      </w:pPr>
      <w:r>
        <w:rPr>
          <w:b/>
          <w:bCs/>
        </w:rPr>
        <w:t xml:space="preserve">Tony usage can create real embeddedness</w:t>
      </w:r>
      <w:r>
        <w:t xml:space="preserve"> </w:t>
      </w:r>
      <w:r>
        <w:t xml:space="preserve">if the product becomes the “communications cockpit” and work order system. But that depth increases integration complexity and support expectations.</w:t>
      </w:r>
    </w:p>
    <w:p>
      <w:pPr>
        <w:pStyle w:val="FirstParagraph"/>
      </w:pPr>
      <w:r>
        <w:t xml:space="preserve">Therefore, the plan’s retention moat is strongest if Tony becomes the primary daily interface—yet that is exactly the area where cheap landlord tools already offer maintenance requests and messaging features, albeit without agentic drafting.</w:t>
      </w:r>
      <w:r>
        <w:t xml:space="preserve"> </w:t>
      </w:r>
      <w:hyperlink r:id="rId38">
        <w:r>
          <w:rPr>
            <w:rStyle w:val="Hyperlink"/>
          </w:rPr>
          <w:t xml:space="preserve">[27]</w:t>
        </w:r>
      </w:hyperlink>
    </w:p>
    <w:bookmarkEnd w:id="52"/>
    <w:bookmarkEnd w:id="53"/>
    <w:bookmarkStart w:id="61" w:name="regulatory-and-liability-triage"/>
    <w:p>
      <w:pPr>
        <w:pStyle w:val="Heading2"/>
      </w:pPr>
      <w:r>
        <w:t xml:space="preserve">Regulatory and liability triage</w:t>
      </w:r>
    </w:p>
    <w:bookmarkStart w:id="55" w:name="X1627b1b1766031ee500a05faad7d921108bda66"/>
    <w:p>
      <w:pPr>
        <w:pStyle w:val="Heading3"/>
      </w:pPr>
      <w:r>
        <w:t xml:space="preserve">Forensic-only positioning reduces</w:t>
      </w:r>
      <w:r>
        <w:t xml:space="preserve"> </w:t>
      </w:r>
      <w:r>
        <w:rPr>
          <w:i/>
          <w:iCs/>
        </w:rPr>
        <w:t xml:space="preserve">some</w:t>
      </w:r>
      <w:r>
        <w:t xml:space="preserve"> </w:t>
      </w:r>
      <w:r>
        <w:t xml:space="preserve">risk but does not immunize FCRA exposure</w:t>
      </w:r>
    </w:p>
    <w:p>
      <w:pPr>
        <w:pStyle w:val="FirstParagraph"/>
      </w:pPr>
      <w:r>
        <w:t xml:space="preserve">The plan’s compliance framing is “forensic-only, non-decisional” to avoid disparate impact liability and consumer-reporting obligations. fileciteturn0file0</w:t>
      </w:r>
    </w:p>
    <w:p>
      <w:pPr>
        <w:pStyle w:val="BodyText"/>
      </w:pPr>
      <w:r>
        <w:t xml:space="preserve">This helps with</w:t>
      </w:r>
      <w:r>
        <w:t xml:space="preserve"> </w:t>
      </w:r>
      <w:r>
        <w:rPr>
          <w:i/>
          <w:iCs/>
        </w:rPr>
        <w:t xml:space="preserve">one</w:t>
      </w:r>
      <w:r>
        <w:t xml:space="preserve"> </w:t>
      </w:r>
      <w:r>
        <w:t xml:space="preserve">class of risk (avoiding explicit scoring/recommendations), but</w:t>
      </w:r>
      <w:r>
        <w:t xml:space="preserve"> </w:t>
      </w:r>
      <w:r>
        <w:rPr>
          <w:b/>
          <w:bCs/>
        </w:rPr>
        <w:t xml:space="preserve">FCRA risk depends on function, not marketing language</w:t>
      </w:r>
      <w:r>
        <w:t xml:space="preserve">:</w:t>
      </w:r>
    </w:p>
    <w:p>
      <w:pPr>
        <w:pStyle w:val="Compact"/>
        <w:numPr>
          <w:ilvl w:val="0"/>
          <w:numId w:val="1010"/>
        </w:numPr>
      </w:pPr>
      <w:r>
        <w:t xml:space="preserve">A “consumer report” under 15 U.S.C. §1681a broadly covers communications of information by a consumer reporting agency that bear on personal characteristics and are used (or expected to be used) as a factor in eligibility for housing.</w:t>
      </w:r>
      <w:r>
        <w:t xml:space="preserve"> </w:t>
      </w:r>
      <w:hyperlink r:id="rId22">
        <w:r>
          <w:rPr>
            <w:rStyle w:val="Hyperlink"/>
          </w:rPr>
          <w:t xml:space="preserve">[28]</w:t>
        </w:r>
      </w:hyperlink>
    </w:p>
    <w:p>
      <w:pPr>
        <w:pStyle w:val="Compact"/>
        <w:numPr>
          <w:ilvl w:val="0"/>
          <w:numId w:val="1010"/>
        </w:numPr>
      </w:pPr>
      <w:r>
        <w:t xml:space="preserve">A “consumer reporting agency” is an entity that, for fees, regularly assembles or evaluates consumer information for the purpose of furnishing consumer reports to third parties.</w:t>
      </w:r>
      <w:r>
        <w:t xml:space="preserve"> </w:t>
      </w:r>
      <w:hyperlink r:id="rId54">
        <w:r>
          <w:rPr>
            <w:rStyle w:val="Hyperlink"/>
          </w:rPr>
          <w:t xml:space="preserve">[29]</w:t>
        </w:r>
      </w:hyperlink>
    </w:p>
    <w:p>
      <w:pPr>
        <w:pStyle w:val="Compact"/>
        <w:numPr>
          <w:ilvl w:val="0"/>
          <w:numId w:val="1010"/>
        </w:numPr>
      </w:pPr>
      <w:r>
        <w:t xml:space="preserve">The FTC explicitly describes tenant screening services as within the FCRA domain and highlights obligations around permissible purposes and disputes.</w:t>
      </w:r>
      <w:r>
        <w:t xml:space="preserve"> </w:t>
      </w:r>
      <w:hyperlink r:id="rId30">
        <w:r>
          <w:rPr>
            <w:rStyle w:val="Hyperlink"/>
          </w:rPr>
          <w:t xml:space="preserve">[30]</w:t>
        </w:r>
      </w:hyperlink>
    </w:p>
    <w:p>
      <w:pPr>
        <w:pStyle w:val="FirstParagraph"/>
      </w:pPr>
      <w:r>
        <w:rPr>
          <w:b/>
          <w:bCs/>
        </w:rPr>
        <w:t xml:space="preserve">Bottom line:</w:t>
      </w:r>
      <w:r>
        <w:t xml:space="preserve"> </w:t>
      </w:r>
      <w:r>
        <w:t xml:space="preserve">If landlords use Laura reports as eligibility factors (even without a score), the product may still be treated as tenant screening—triggering compliance obligations that are difficult to manage purely solo.</w:t>
      </w:r>
    </w:p>
    <w:bookmarkEnd w:id="55"/>
    <w:bookmarkStart w:id="56" w:name="X8e67c3dcdf93be66f33300053f50a56babf62e0"/>
    <w:p>
      <w:pPr>
        <w:pStyle w:val="Heading3"/>
      </w:pPr>
      <w:r>
        <w:t xml:space="preserve">Application-fee legality requires jurisdiction-aware design</w:t>
      </w:r>
    </w:p>
    <w:p>
      <w:pPr>
        <w:pStyle w:val="FirstParagraph"/>
      </w:pPr>
      <w:r>
        <w:t xml:space="preserve">The plan acknowledges that intake fees vary by jurisdiction and cites fee caps such as New York’s $20 cap on credit/background checks. fileciteturn0file0</w:t>
      </w:r>
      <w:r>
        <w:br/>
      </w:r>
      <w:r>
        <w:t xml:space="preserve">New York State guidance (e.g., NY AG materials) states landlords may charge</w:t>
      </w:r>
      <w:r>
        <w:t xml:space="preserve"> </w:t>
      </w:r>
      <w:r>
        <w:rPr>
          <w:b/>
          <w:bCs/>
        </w:rPr>
        <w:t xml:space="preserve">no more than $20</w:t>
      </w:r>
      <w:r>
        <w:t xml:space="preserve"> </w:t>
      </w:r>
      <w:r>
        <w:t xml:space="preserve">for a credit/background check and must provide copies/invoices, and applicant-provided reports can waive the fee.</w:t>
      </w:r>
      <w:r>
        <w:t xml:space="preserve"> </w:t>
      </w:r>
      <w:hyperlink r:id="rId41">
        <w:r>
          <w:rPr>
            <w:rStyle w:val="Hyperlink"/>
          </w:rPr>
          <w:t xml:space="preserve">[31]</w:t>
        </w:r>
      </w:hyperlink>
    </w:p>
    <w:p>
      <w:pPr>
        <w:pStyle w:val="BodyText"/>
      </w:pPr>
      <w:r>
        <w:t xml:space="preserve">This creates a direct monetization constraint: in markets with strict caps, application-related fees may need to be</w:t>
      </w:r>
      <w:r>
        <w:t xml:space="preserve"> </w:t>
      </w:r>
      <w:r>
        <w:rPr>
          <w:b/>
          <w:bCs/>
        </w:rPr>
        <w:t xml:space="preserve">bundled into subscription</w:t>
      </w:r>
      <w:r>
        <w:t xml:space="preserve"> </w:t>
      </w:r>
      <w:r>
        <w:t xml:space="preserve">or shifted to landlord-paid costs that can’t be passed through, compressing the transaction revenue stream.</w:t>
      </w:r>
      <w:r>
        <w:t xml:space="preserve"> </w:t>
      </w:r>
      <w:hyperlink r:id="rId41">
        <w:r>
          <w:rPr>
            <w:rStyle w:val="Hyperlink"/>
          </w:rPr>
          <w:t xml:space="preserve">[31]</w:t>
        </w:r>
      </w:hyperlink>
    </w:p>
    <w:bookmarkEnd w:id="56"/>
    <w:bookmarkStart w:id="58" w:name="Xdb919b965c88750cecc087d4648b65e9176ab21"/>
    <w:p>
      <w:pPr>
        <w:pStyle w:val="Heading3"/>
      </w:pPr>
      <w:r>
        <w:t xml:space="preserve">Automation bias mitigation: “forced read-and-confirm” helps, but does not solve liability alone</w:t>
      </w:r>
    </w:p>
    <w:p>
      <w:pPr>
        <w:pStyle w:val="FirstParagraph"/>
      </w:pPr>
      <w:r>
        <w:t xml:space="preserve">The plan proposes UI friction (forced read-and-confirm) to mitigate “automation bias” where landlords rubber-stamp Tony’s drafts, with one-click approval reserved for low-stakes items. fileciteturn0file0</w:t>
      </w:r>
    </w:p>
    <w:p>
      <w:pPr>
        <w:pStyle w:val="BodyText"/>
      </w:pPr>
      <w:r>
        <w:t xml:space="preserve">Research across safety-critical domains consistently finds that humans over-rely on automated aids, producing:</w:t>
      </w:r>
      <w:r>
        <w:t xml:space="preserve"> </w:t>
      </w:r>
      <w:r>
        <w:t xml:space="preserve">-</w:t>
      </w:r>
      <w:r>
        <w:t xml:space="preserve"> </w:t>
      </w:r>
      <w:r>
        <w:rPr>
          <w:b/>
          <w:bCs/>
        </w:rPr>
        <w:t xml:space="preserve">Errors of commission</w:t>
      </w:r>
      <w:r>
        <w:t xml:space="preserve"> </w:t>
      </w:r>
      <w:r>
        <w:t xml:space="preserve">(following wrong automated guidance) and</w:t>
      </w:r>
      <w:r>
        <w:br/>
      </w:r>
      <w:r>
        <w:t xml:space="preserve">-</w:t>
      </w:r>
      <w:r>
        <w:t xml:space="preserve"> </w:t>
      </w:r>
      <w:r>
        <w:rPr>
          <w:b/>
          <w:bCs/>
        </w:rPr>
        <w:t xml:space="preserve">Errors of omission</w:t>
      </w:r>
      <w:r>
        <w:t xml:space="preserve"> </w:t>
      </w:r>
      <w:r>
        <w:t xml:space="preserve">(failing to act because the system didn’t flag a problem).</w:t>
      </w:r>
      <w:r>
        <w:t xml:space="preserve"> </w:t>
      </w:r>
      <w:hyperlink r:id="rId44">
        <w:r>
          <w:rPr>
            <w:rStyle w:val="Hyperlink"/>
          </w:rPr>
          <w:t xml:space="preserve">[32]</w:t>
        </w:r>
      </w:hyperlink>
    </w:p>
    <w:p>
      <w:pPr>
        <w:pStyle w:val="BodyText"/>
      </w:pPr>
      <w:r>
        <w:t xml:space="preserve">In other words, UI confirmation is a necessary control, but it is not a complete liability defense—especially in time-pressure contexts like maintenance triage where “fast approval” is the user’s goal.</w:t>
      </w:r>
      <w:r>
        <w:t xml:space="preserve"> </w:t>
      </w:r>
      <w:hyperlink r:id="rId57">
        <w:r>
          <w:rPr>
            <w:rStyle w:val="Hyperlink"/>
          </w:rPr>
          <w:t xml:space="preserve">[33]</w:t>
        </w:r>
      </w:hyperlink>
    </w:p>
    <w:bookmarkEnd w:id="58"/>
    <w:bookmarkStart w:id="60" w:name="X8002ca0e9cca471cea309afe2592aa6872a6e5f"/>
    <w:p>
      <w:pPr>
        <w:pStyle w:val="Heading3"/>
      </w:pPr>
      <w:r>
        <w:t xml:space="preserve">RealPage/DOJ precedent: the main lesson is “regulatory surface is active,” not that this product is directly targeted</w:t>
      </w:r>
    </w:p>
    <w:p>
      <w:pPr>
        <w:pStyle w:val="FirstParagraph"/>
      </w:pPr>
      <w:r>
        <w:t xml:space="preserve">The DOJ action against RealPage targeted alleged algorithmic pricing collusion dynamics in rental markets.</w:t>
      </w:r>
      <w:r>
        <w:t xml:space="preserve"> </w:t>
      </w:r>
      <w:hyperlink r:id="rId21">
        <w:r>
          <w:rPr>
            <w:rStyle w:val="Hyperlink"/>
          </w:rPr>
          <w:t xml:space="preserve">[34]</w:t>
        </w:r>
      </w:hyperlink>
      <w:r>
        <w:br/>
      </w:r>
      <w:r>
        <w:t xml:space="preserve">City-level bans (e.g., San Francisco prohibiting algorithmic devices that set/recommend rent) show municipal willingness to regulate “algorithms in housing markets.”</w:t>
      </w:r>
      <w:r>
        <w:t xml:space="preserve"> </w:t>
      </w:r>
      <w:hyperlink r:id="rId28">
        <w:r>
          <w:rPr>
            <w:rStyle w:val="Hyperlink"/>
          </w:rPr>
          <w:t xml:space="preserve">[35]</w:t>
        </w:r>
      </w:hyperlink>
    </w:p>
    <w:p>
      <w:pPr>
        <w:pStyle w:val="BodyText"/>
      </w:pPr>
      <w:r>
        <w:t xml:space="preserve">PropertyOps AI’s scope is not rent-setting, but these precedents still matter because they increase scrutiny of</w:t>
      </w:r>
      <w:r>
        <w:t xml:space="preserve"> </w:t>
      </w:r>
      <w:r>
        <w:rPr>
          <w:b/>
          <w:bCs/>
        </w:rPr>
        <w:t xml:space="preserve">any AI-mediated housing workflow</w:t>
      </w:r>
      <w:r>
        <w:t xml:space="preserve">, and they increase discovery risk, audit expectations, and compliance overhead for small vendors.</w:t>
      </w:r>
      <w:r>
        <w:t xml:space="preserve"> </w:t>
      </w:r>
      <w:hyperlink r:id="rId21">
        <w:r>
          <w:rPr>
            <w:rStyle w:val="Hyperlink"/>
          </w:rPr>
          <w:t xml:space="preserve">[36]</w:t>
        </w:r>
      </w:hyperlink>
    </w:p>
    <w:p>
      <w:pPr>
        <w:pStyle w:val="BodyText"/>
      </w:pPr>
      <w:r>
        <w:t xml:space="preserve">A more directly analogous risk signal is tenant-screening AI scrutiny: HUD issued guidance emphasizing that the Fair Housing Act applies to tenant screening and housing advertising even when AI/algorithms are used, and it highlights transparency and discrimination concerns.</w:t>
      </w:r>
      <w:r>
        <w:t xml:space="preserve"> </w:t>
      </w:r>
      <w:hyperlink r:id="rId26">
        <w:r>
          <w:rPr>
            <w:rStyle w:val="Hyperlink"/>
          </w:rPr>
          <w:t xml:space="preserve">[37]</w:t>
        </w:r>
      </w:hyperlink>
      <w:r>
        <w:br/>
      </w:r>
      <w:r>
        <w:t xml:space="preserve">Separately, litigation and settlements around AI-based screening scores (e.g., SafeRent-related reporting) underscore that “screening automation” is a high-liability zone.</w:t>
      </w:r>
      <w:r>
        <w:t xml:space="preserve"> </w:t>
      </w:r>
      <w:hyperlink r:id="rId59">
        <w:r>
          <w:rPr>
            <w:rStyle w:val="Hyperlink"/>
          </w:rPr>
          <w:t xml:space="preserve">[38]</w:t>
        </w:r>
      </w:hyperlink>
    </w:p>
    <w:bookmarkEnd w:id="60"/>
    <w:bookmarkEnd w:id="61"/>
    <w:bookmarkStart w:id="65" w:name="Xf29e963c74b2cf847426f6d206d81d14265a9e1"/>
    <w:p>
      <w:pPr>
        <w:pStyle w:val="Heading2"/>
      </w:pPr>
      <w:r>
        <w:t xml:space="preserve">Risk and mitigation table with solo-founder roadmap</w:t>
      </w:r>
    </w:p>
    <w:bookmarkStart w:id="62" w:name="Xebd84eb1bfcaa01d7f4fdd8d73d1936ac67704e"/>
    <w:p>
      <w:pPr>
        <w:pStyle w:val="Heading3"/>
      </w:pPr>
      <w:r>
        <w:t xml:space="preserve">The three biggest red flags for a single-person failure mode</w:t>
      </w:r>
    </w:p>
    <w:p>
      <w:pPr>
        <w:pStyle w:val="FirstParagraph"/>
      </w:pPr>
      <w:r>
        <w:rPr>
          <w:b/>
          <w:bCs/>
        </w:rPr>
        <w:t xml:space="preserve">FCRA / “tenant screening service” classification risk becomes operational reality.</w:t>
      </w:r>
      <w:r>
        <w:t xml:space="preserve"> </w:t>
      </w:r>
      <w:r>
        <w:t xml:space="preserve">If Laura is functionally a screening input, you may inherit dispute resolution, compliance workflows, and service expectations that cannot be met by compute alone and are hard to scale solo without outsourcing.</w:t>
      </w:r>
      <w:r>
        <w:t xml:space="preserve"> </w:t>
      </w:r>
      <w:hyperlink r:id="rId22">
        <w:r>
          <w:rPr>
            <w:rStyle w:val="Hyperlink"/>
          </w:rPr>
          <w:t xml:space="preserve">[2]</w:t>
        </w:r>
      </w:hyperlink>
    </w:p>
    <w:p>
      <w:pPr>
        <w:pStyle w:val="BodyText"/>
      </w:pPr>
      <w:r>
        <w:rPr>
          <w:b/>
          <w:bCs/>
        </w:rPr>
        <w:t xml:space="preserve">Pricing mismatch versus substitutes in the 5–150 segment.</w:t>
      </w:r>
      <w:r>
        <w:t xml:space="preserve"> </w:t>
      </w:r>
      <w:r>
        <w:t xml:space="preserve">Many substitutes are free/cheap or flat-fee, and even incumbent mid-market tools can be substantially cheaper per unit than $8–$10. If Tony’s drafting value isn’t instantly obvious, PLG stalls and founder-led sales becomes the bottleneck.</w:t>
      </w:r>
      <w:r>
        <w:t xml:space="preserve"> </w:t>
      </w:r>
      <w:hyperlink r:id="rId23">
        <w:r>
          <w:rPr>
            <w:rStyle w:val="Hyperlink"/>
          </w:rPr>
          <w:t xml:space="preserve">[39]</w:t>
        </w:r>
      </w:hyperlink>
    </w:p>
    <w:p>
      <w:pPr>
        <w:pStyle w:val="BodyText"/>
      </w:pPr>
      <w:r>
        <w:rPr>
          <w:b/>
          <w:bCs/>
        </w:rPr>
        <w:t xml:space="preserve">Scope creep into autonomy (dispatch) before trust + labeled calibration is real.</w:t>
      </w:r>
      <w:r>
        <w:t xml:space="preserve"> </w:t>
      </w:r>
      <w:r>
        <w:t xml:space="preserve">Autonomy increases liability surface and increases support burden, even with gates. The plan correctly treats calibration as a hard gate; the risk is commercial pressure pushing autonomy too early. fileciteturn0file0</w:t>
      </w:r>
    </w:p>
    <w:bookmarkEnd w:id="62"/>
    <w:bookmarkStart w:id="63" w:name="riskmitigation-table"/>
    <w:p>
      <w:pPr>
        <w:pStyle w:val="Heading3"/>
      </w:pPr>
      <w:r>
        <w:t xml:space="preserve">Risk/mitigation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Why it breaks solo viability</w:t>
            </w:r>
          </w:p>
        </w:tc>
        <w:tc>
          <w:tcPr/>
          <w:p>
            <w:pPr>
              <w:pStyle w:val="Compact"/>
            </w:pPr>
            <w:r>
              <w:t xml:space="preserve">What to measure early</w:t>
            </w:r>
          </w:p>
        </w:tc>
        <w:tc>
          <w:tcPr/>
          <w:p>
            <w:pPr>
              <w:pStyle w:val="Compact"/>
            </w:pPr>
            <w:r>
              <w:t xml:space="preserve">Mitigation aligned to the plan</w:t>
            </w:r>
          </w:p>
        </w:tc>
      </w:tr>
      <w:tr>
        <w:tc>
          <w:tcPr/>
          <w:p>
            <w:pPr>
              <w:pStyle w:val="Compact"/>
            </w:pPr>
            <w:r>
              <w:t xml:space="preserve">FCRA “CRA/consumer report” classification for Laura outputs</w:t>
            </w:r>
          </w:p>
        </w:tc>
        <w:tc>
          <w:tcPr/>
          <w:p>
            <w:pPr>
              <w:pStyle w:val="Compact"/>
            </w:pPr>
            <w:r>
              <w:t xml:space="preserve">Triggers disputes, permissible-purpose checks, potential adverse-action workflow expectations; “compute-only” becomes false.</w:t>
            </w:r>
            <w:r>
              <w:t xml:space="preserve"> </w:t>
            </w:r>
            <w:hyperlink r:id="rId54">
              <w:r>
                <w:rPr>
                  <w:rStyle w:val="Hyperlink"/>
                </w:rPr>
                <w:t xml:space="preserve">[40]</w:t>
              </w:r>
            </w:hyperlink>
          </w:p>
        </w:tc>
        <w:tc>
          <w:tcPr/>
          <w:p>
            <w:pPr>
              <w:pStyle w:val="Compact"/>
            </w:pPr>
            <w:r>
              <w:t xml:space="preserve">Legal opinion outcome; how customers use outputs (advisory vs eligibility factor); dispute rate per 100 applications</w:t>
            </w:r>
          </w:p>
        </w:tc>
        <w:tc>
          <w:tcPr/>
          <w:p>
            <w:pPr>
              <w:pStyle w:val="Compact"/>
            </w:pPr>
            <w:r>
              <w:t xml:space="preserve">Convert Laura into</w:t>
            </w:r>
            <w:r>
              <w:t xml:space="preserve"> </w:t>
            </w:r>
            <w:r>
              <w:rPr>
                <w:b/>
                <w:bCs/>
              </w:rPr>
              <w:t xml:space="preserve">software tool + landlord-owned report</w:t>
            </w:r>
            <w:r>
              <w:t xml:space="preserve"> </w:t>
            </w:r>
            <w:r>
              <w:t xml:space="preserve">(where feasible) or partner with an established screening provider; treat compliance as a Phase 1 gate (as the plan states). fileciteturn0file0</w:t>
            </w:r>
          </w:p>
        </w:tc>
      </w:tr>
      <w:tr>
        <w:tc>
          <w:tcPr/>
          <w:p>
            <w:pPr>
              <w:pStyle w:val="Compact"/>
            </w:pPr>
            <w:r>
              <w:t xml:space="preserve">Application-fee cap and jurisdiction fragmentation</w:t>
            </w:r>
          </w:p>
        </w:tc>
        <w:tc>
          <w:tcPr/>
          <w:p>
            <w:pPr>
              <w:pStyle w:val="Compact"/>
            </w:pPr>
            <w:r>
              <w:t xml:space="preserve">Transaction revenue shrinks or must be bundled; price discrimination by jurisdiction adds engineering.</w:t>
            </w:r>
            <w:r>
              <w:t xml:space="preserve"> </w:t>
            </w:r>
            <w:hyperlink r:id="rId41">
              <w:r>
                <w:rPr>
                  <w:rStyle w:val="Hyperlink"/>
                </w:rPr>
                <w:t xml:space="preserve">[31]</w:t>
              </w:r>
            </w:hyperlink>
          </w:p>
        </w:tc>
        <w:tc>
          <w:tcPr/>
          <w:p>
            <w:pPr>
              <w:pStyle w:val="Compact"/>
            </w:pPr>
            <w:r>
              <w:t xml:space="preserve">% of early customers in capped jurisdictions; net intake revenue/application after caps</w:t>
            </w:r>
          </w:p>
        </w:tc>
        <w:tc>
          <w:tcPr/>
          <w:p>
            <w:pPr>
              <w:pStyle w:val="Compact"/>
            </w:pPr>
            <w:r>
              <w:t xml:space="preserve">Build “jurisdiction-aware fee logic” (already in plan) and make subscription economics stand alone. fileciteturn0file0</w:t>
            </w:r>
          </w:p>
        </w:tc>
      </w:tr>
      <w:tr>
        <w:tc>
          <w:tcPr/>
          <w:p>
            <w:pPr>
              <w:pStyle w:val="Compact"/>
            </w:pPr>
            <w:r>
              <w:t xml:space="preserve">Competitive parity on fraud/income verification</w:t>
            </w:r>
          </w:p>
        </w:tc>
        <w:tc>
          <w:tcPr/>
          <w:p>
            <w:pPr>
              <w:pStyle w:val="Compact"/>
            </w:pPr>
            <w:r>
              <w:t xml:space="preserve">The “Laura wedge” is not unique; competitors already market fraud detection/income verification partnerships.</w:t>
            </w:r>
            <w:r>
              <w:t xml:space="preserve"> </w:t>
            </w:r>
            <w:hyperlink r:id="rId37">
              <w:r>
                <w:rPr>
                  <w:rStyle w:val="Hyperlink"/>
                </w:rPr>
                <w:t xml:space="preserve">[41]</w:t>
              </w:r>
            </w:hyperlink>
          </w:p>
        </w:tc>
        <w:tc>
          <w:tcPr/>
          <w:p>
            <w:pPr>
              <w:pStyle w:val="Compact"/>
            </w:pPr>
            <w:r>
              <w:t xml:space="preserve">Win/loss reasons vs existing screening stack</w:t>
            </w:r>
          </w:p>
        </w:tc>
        <w:tc>
          <w:tcPr/>
          <w:p>
            <w:pPr>
              <w:pStyle w:val="Compact"/>
            </w:pPr>
            <w:r>
              <w:t xml:space="preserve">Differentiate on</w:t>
            </w:r>
            <w:r>
              <w:t xml:space="preserve"> </w:t>
            </w:r>
            <w:r>
              <w:rPr>
                <w:b/>
                <w:bCs/>
              </w:rPr>
              <w:t xml:space="preserve">audit-grade evidence trail</w:t>
            </w:r>
            <w:r>
              <w:t xml:space="preserve"> </w:t>
            </w:r>
            <w:r>
              <w:t xml:space="preserve">+ “forensic explainability” and on operational transition into Tony, not on fraud detection alone. fileciteturn0file0</w:t>
            </w:r>
          </w:p>
        </w:tc>
      </w:tr>
      <w:tr>
        <w:tc>
          <w:tcPr/>
          <w:p>
            <w:pPr>
              <w:pStyle w:val="Compact"/>
            </w:pPr>
            <w:r>
              <w:t xml:space="preserve">Automation bias + tenant harm from rubber-stamped drafts</w:t>
            </w:r>
          </w:p>
        </w:tc>
        <w:tc>
          <w:tcPr/>
          <w:p>
            <w:pPr>
              <w:pStyle w:val="Compact"/>
            </w:pPr>
            <w:r>
              <w:t xml:space="preserve">UI confirmation reduces but does not eliminate over-trust; liability persists if harm occurs.</w:t>
            </w:r>
            <w:r>
              <w:t xml:space="preserve"> </w:t>
            </w:r>
            <w:hyperlink r:id="rId44">
              <w:r>
                <w:rPr>
                  <w:rStyle w:val="Hyperlink"/>
                </w:rPr>
                <w:t xml:space="preserve">[42]</w:t>
              </w:r>
            </w:hyperlink>
          </w:p>
        </w:tc>
        <w:tc>
          <w:tcPr/>
          <w:p>
            <w:pPr>
              <w:pStyle w:val="Compact"/>
            </w:pPr>
            <w:r>
              <w:t xml:space="preserve">Approval time distribution; override rate; incident reports</w:t>
            </w:r>
          </w:p>
        </w:tc>
        <w:tc>
          <w:tcPr/>
          <w:p>
            <w:pPr>
              <w:pStyle w:val="Compact"/>
            </w:pPr>
            <w:r>
              <w:t xml:space="preserve">Keep Tony as drafting-only longer; “forced confirm” for safety-adjacent messages (plan) plus monitoring and required follow-up flows for ambiguity. fileciteturn0file0</w:t>
            </w:r>
          </w:p>
        </w:tc>
      </w:tr>
      <w:tr>
        <w:tc>
          <w:tcPr/>
          <w:p>
            <w:pPr>
              <w:pStyle w:val="Compact"/>
            </w:pPr>
            <w:r>
              <w:t xml:space="preserve">OpenClaw technical debt</w:t>
            </w:r>
          </w:p>
        </w:tc>
        <w:tc>
          <w:tcPr/>
          <w:p>
            <w:pPr>
              <w:pStyle w:val="Compact"/>
            </w:pPr>
            <w:r>
              <w:t xml:space="preserve">Solo founder becomes platform maintainer; reliability/security obligations dominate</w:t>
            </w:r>
          </w:p>
        </w:tc>
        <w:tc>
          <w:tcPr/>
          <w:p>
            <w:pPr>
              <w:pStyle w:val="Compact"/>
            </w:pPr>
            <w:r>
              <w:t xml:space="preserve">Time spent on platform issues vs product progress; incident frequency</w:t>
            </w:r>
          </w:p>
        </w:tc>
        <w:tc>
          <w:tcPr/>
          <w:p>
            <w:pPr>
              <w:pStyle w:val="Compact"/>
            </w:pPr>
            <w:r>
              <w:t xml:space="preserve">Minimize bespoke orchestration; use simple queue + audit-log patterns; treat OpenClaw as internal plumbing, not a moat. fileciteturn0file0</w:t>
            </w:r>
          </w:p>
        </w:tc>
      </w:tr>
      <w:tr>
        <w:tc>
          <w:tcPr/>
          <w:p>
            <w:pPr>
              <w:pStyle w:val="Compact"/>
            </w:pPr>
            <w:r>
              <w:t xml:space="preserve">Sales cycle friction contradicts pure PLG</w:t>
            </w:r>
          </w:p>
        </w:tc>
        <w:tc>
          <w:tcPr/>
          <w:p>
            <w:pPr>
              <w:pStyle w:val="Compact"/>
            </w:pPr>
            <w:r>
              <w:t xml:space="preserve">If onboarding/integration is heavy, founder bandwidth becomes the limiting factor for 30–50 accounts</w:t>
            </w:r>
          </w:p>
        </w:tc>
        <w:tc>
          <w:tcPr/>
          <w:p>
            <w:pPr>
              <w:pStyle w:val="Compact"/>
            </w:pPr>
            <w:r>
              <w:t xml:space="preserve">“Time to first value,” activation rate, and referral rate per cohort</w:t>
            </w:r>
          </w:p>
        </w:tc>
        <w:tc>
          <w:tcPr/>
          <w:p>
            <w:pPr>
              <w:pStyle w:val="Compact"/>
            </w:pPr>
            <w:r>
              <w:t xml:space="preserve">Constrain ICP to a repeatable profile; standardize onboarding checklists; avoid deep integrations until post-$8k MRR. fileciteturn0file0</w:t>
            </w:r>
          </w:p>
        </w:tc>
      </w:tr>
    </w:tbl>
    <w:bookmarkEnd w:id="63"/>
    <w:bookmarkStart w:id="64" w:name="Xcb4bbb7b03811c9efa9f53832d09f3606c69777"/>
    <w:p>
      <w:pPr>
        <w:pStyle w:val="Heading3"/>
      </w:pPr>
      <w:r>
        <w:t xml:space="preserve">The solo-founder “golden path” to $8k–$15k MRR by Month 9</w:t>
      </w:r>
    </w:p>
    <w:p>
      <w:pPr>
        <w:pStyle w:val="FirstParagraph"/>
      </w:pPr>
      <w:r>
        <w:t xml:space="preserve">This is the most credible solo pathway that preserves the plan’s sequencing while stress-testing feasibility against real-world constraints:</w:t>
      </w:r>
    </w:p>
    <w:p>
      <w:pPr>
        <w:pStyle w:val="BodyText"/>
      </w:pPr>
      <w:r>
        <w:rPr>
          <w:b/>
          <w:bCs/>
        </w:rPr>
        <w:t xml:space="preserve">Narrow the ICP to customers who already pay for operations software and feel maintenance pain daily.</w:t>
      </w:r>
      <w:r>
        <w:t xml:space="preserve"> </w:t>
      </w:r>
      <w:r>
        <w:t xml:space="preserve">The plan targets 5–150 units. In practice, bias to the upper half (e.g., 40–150 units) where the $8–$10/unit price can be justified by hours saved. This also reduces the “compete with free tools” trap.</w:t>
      </w:r>
      <w:r>
        <w:t xml:space="preserve"> </w:t>
      </w:r>
      <w:hyperlink r:id="rId33">
        <w:r>
          <w:rPr>
            <w:rStyle w:val="Hyperlink"/>
          </w:rPr>
          <w:t xml:space="preserve">[43]</w:t>
        </w:r>
      </w:hyperlink>
    </w:p>
    <w:p>
      <w:pPr>
        <w:pStyle w:val="BodyText"/>
      </w:pPr>
      <w:r>
        <w:rPr>
          <w:b/>
          <w:bCs/>
        </w:rPr>
        <w:t xml:space="preserve">Make Phase 1 “Laura” an adoption wedge that is not legally interpreted as a tenant screening service.</w:t>
      </w:r>
      <w:r>
        <w:t xml:space="preserve"> </w:t>
      </w:r>
      <w:r>
        <w:t xml:space="preserve">If you cannot structurally avoid CRA-like classification, then Phase 1 should be either (a) a partner-led offering through an established screening vendor, or (b) a landlord-internal tool that does not “furnish a consumer report” in the statutory sense (this requires careful counsel).</w:t>
      </w:r>
      <w:r>
        <w:t xml:space="preserve"> </w:t>
      </w:r>
      <w:hyperlink r:id="rId54">
        <w:r>
          <w:rPr>
            <w:rStyle w:val="Hyperlink"/>
          </w:rPr>
          <w:t xml:space="preserve">[40]</w:t>
        </w:r>
      </w:hyperlink>
    </w:p>
    <w:p>
      <w:pPr>
        <w:pStyle w:val="BodyText"/>
      </w:pPr>
      <w:r>
        <w:rPr>
          <w:b/>
          <w:bCs/>
        </w:rPr>
        <w:t xml:space="preserve">Use subscription economics as the core engine; treat intake fees as upside.</w:t>
      </w:r>
      <w:r>
        <w:t xml:space="preserve"> </w:t>
      </w:r>
      <w:r>
        <w:t xml:space="preserve">Because fee caps (e.g., NY’s $20 cap) and other jurisdiction dynamics can compress intake economics, the product must still hit Month 9 targets on subscription alone if necessary.</w:t>
      </w:r>
      <w:r>
        <w:t xml:space="preserve"> </w:t>
      </w:r>
      <w:hyperlink r:id="rId41">
        <w:r>
          <w:rPr>
            <w:rStyle w:val="Hyperlink"/>
          </w:rPr>
          <w:t xml:space="preserve">[31]</w:t>
        </w:r>
      </w:hyperlink>
    </w:p>
    <w:p>
      <w:pPr>
        <w:pStyle w:val="BodyText"/>
      </w:pPr>
      <w:r>
        <w:rPr>
          <w:b/>
          <w:bCs/>
        </w:rPr>
        <w:t xml:space="preserve">Ship Tony as a drafting agent with minimal integrations and maximum auditability.</w:t>
      </w:r>
      <w:r>
        <w:t xml:space="preserve"> </w:t>
      </w:r>
      <w:r>
        <w:t xml:space="preserve">The plan’s Mission Control “Approve &amp; Send” framing is aligned with reducing liability and maintaining solo-manageable support. fileciteturn0file0</w:t>
      </w:r>
    </w:p>
    <w:p>
      <w:pPr>
        <w:pStyle w:val="BodyText"/>
      </w:pPr>
      <w:r>
        <w:rPr>
          <w:b/>
          <w:bCs/>
        </w:rPr>
        <w:t xml:space="preserve">Delay autonomy until after the business is already sustainable.</w:t>
      </w:r>
      <w:r>
        <w:t xml:space="preserve"> </w:t>
      </w:r>
      <w:r>
        <w:t xml:space="preserve">The plan’s Phase 3 gating is conceptually correct; the solo-friendly twist is: do not make autonomy necessary to hit $15k MRR. Hit $15k via Operator subscription first; then introduce autonomy as a premium only when calibration data and incident response processes exist. fileciteturn0file0</w:t>
      </w:r>
    </w:p>
    <w:p>
      <w:pPr>
        <w:pStyle w:val="BodyText"/>
      </w:pPr>
      <w:r>
        <w:rPr>
          <w:b/>
          <w:bCs/>
        </w:rPr>
        <w:t xml:space="preserve">A practical Month 0→9 target math that matches solo bandwidth:</w:t>
      </w:r>
      <w:r>
        <w:br/>
      </w:r>
      <w:r>
        <w:t xml:space="preserve">- Aim for</w:t>
      </w:r>
      <w:r>
        <w:t xml:space="preserve"> </w:t>
      </w:r>
      <w:r>
        <w:rPr>
          <w:b/>
          <w:bCs/>
        </w:rPr>
        <w:t xml:space="preserve">~45 accounts</w:t>
      </w:r>
      <w:r>
        <w:t xml:space="preserve"> </w:t>
      </w:r>
      <w:r>
        <w:t xml:space="preserve">at</w:t>
      </w:r>
      <w:r>
        <w:t xml:space="preserve"> </w:t>
      </w:r>
      <w:r>
        <w:rPr>
          <w:b/>
          <w:bCs/>
        </w:rPr>
        <w:t xml:space="preserve">~30 units average</w:t>
      </w:r>
      <w:r>
        <w:t xml:space="preserve"> </w:t>
      </w:r>
      <w:r>
        <w:t xml:space="preserve">on Operator pricing: subscription alone is ~45 × 30 × $9 ≈</w:t>
      </w:r>
      <w:r>
        <w:t xml:space="preserve"> </w:t>
      </w:r>
      <w:r>
        <w:rPr>
          <w:b/>
          <w:bCs/>
        </w:rPr>
        <w:t xml:space="preserve">$12,150 MRR</w:t>
      </w:r>
      <w:r>
        <w:t xml:space="preserve">, and modest intake revenue or higher average unit count closes the gap to $15k. fileciteturn0file0</w:t>
      </w:r>
      <w:r>
        <w:br/>
      </w:r>
      <w:r>
        <w:t xml:space="preserve">- Alternatively, aim for</w:t>
      </w:r>
      <w:r>
        <w:t xml:space="preserve"> </w:t>
      </w:r>
      <w:r>
        <w:rPr>
          <w:b/>
          <w:bCs/>
        </w:rPr>
        <w:t xml:space="preserve">~30 accounts</w:t>
      </w:r>
      <w:r>
        <w:t xml:space="preserve"> </w:t>
      </w:r>
      <w:r>
        <w:t xml:space="preserve">at</w:t>
      </w:r>
      <w:r>
        <w:t xml:space="preserve"> </w:t>
      </w:r>
      <w:r>
        <w:rPr>
          <w:b/>
          <w:bCs/>
        </w:rPr>
        <w:t xml:space="preserve">~55 units average</w:t>
      </w:r>
      <w:r>
        <w:t xml:space="preserve">: 30 × 55 × $9 ≈</w:t>
      </w:r>
      <w:r>
        <w:t xml:space="preserve"> </w:t>
      </w:r>
      <w:r>
        <w:rPr>
          <w:b/>
          <w:bCs/>
        </w:rPr>
        <w:t xml:space="preserve">$14,850 MRR</w:t>
      </w:r>
      <w:r>
        <w:t xml:space="preserve"> </w:t>
      </w:r>
      <w:r>
        <w:t xml:space="preserve">subscription-only, which is achievable if you bias toward the upper ICP band and avoid the smallest landlords. fileciteturn0file0</w:t>
      </w:r>
    </w:p>
    <w:p>
      <w:pPr>
        <w:pStyle w:val="BodyText"/>
      </w:pPr>
      <w:r>
        <w:rPr>
          <w:b/>
          <w:bCs/>
        </w:rPr>
        <w:t xml:space="preserve">Why this is solo-feasible:</w:t>
      </w:r>
      <w:r>
        <w:t xml:space="preserve"> </w:t>
      </w:r>
      <w:r>
        <w:t xml:space="preserve">it replaces “many tiny customers + heavy support” with “fewer, higher-unit accounts,” which lowers onboarding count, lowers variance, and increases revenue per unit of founder time—consistent with the plan’s emphasis on compounding LTV via daily workflow embedding. fileciteturn0file0</w:t>
      </w:r>
    </w:p>
    <w:bookmarkEnd w:id="64"/>
    <w:bookmarkEnd w:id="65"/>
    <w:bookmarkEnd w:id="66"/>
    <w:bookmarkEnd w:id="67"/>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1">
        <w:r>
          <w:rPr>
            <w:rStyle w:val="Hyperlink"/>
          </w:rPr>
          <w:t xml:space="preserve">[34]</w:t>
        </w:r>
      </w:hyperlink>
      <w:r>
        <w:t xml:space="preserve"> </w:t>
      </w:r>
      <w:hyperlink r:id="rId21">
        <w:r>
          <w:rPr>
            <w:rStyle w:val="Hyperlink"/>
          </w:rPr>
          <w:t xml:space="preserve">[36]</w:t>
        </w:r>
      </w:hyperlink>
      <w:r>
        <w:t xml:space="preserve"> </w:t>
      </w:r>
      <w:r>
        <w:t xml:space="preserve">Justice Department Sues RealPage for Algorithmic Pricing ...</w:t>
      </w:r>
    </w:p>
    <w:p>
      <w:pPr>
        <w:pStyle w:val="BodyText"/>
      </w:pPr>
      <w:hyperlink r:id="rId21">
        <w:r>
          <w:rPr>
            <w:rStyle w:val="Hyperlink"/>
          </w:rPr>
          <w:t xml:space="preserve">https://www.justice.gov/archives/opa/pr/justice-department-sues-realpage-algorithmic-pricing-scheme-harms-millions-american-renters?utm_source=chatgpt.com</w:t>
        </w:r>
      </w:hyperlink>
    </w:p>
    <w:p>
      <w:pPr>
        <w:pStyle w:val="BodyText"/>
      </w:pPr>
      <w:hyperlink r:id="rId22">
        <w:r>
          <w:rPr>
            <w:rStyle w:val="Hyperlink"/>
          </w:rPr>
          <w:t xml:space="preserve">[2]</w:t>
        </w:r>
      </w:hyperlink>
      <w:r>
        <w:t xml:space="preserve"> </w:t>
      </w:r>
      <w:hyperlink r:id="rId22">
        <w:r>
          <w:rPr>
            <w:rStyle w:val="Hyperlink"/>
          </w:rPr>
          <w:t xml:space="preserve">[28]</w:t>
        </w:r>
      </w:hyperlink>
      <w:r>
        <w:t xml:space="preserve"> </w:t>
      </w:r>
      <w:r>
        <w:t xml:space="preserve">https://www.law.cornell.edu/uscode/text/15/1681a</w:t>
      </w:r>
    </w:p>
    <w:p>
      <w:pPr>
        <w:pStyle w:val="BodyText"/>
      </w:pPr>
      <w:hyperlink r:id="rId22">
        <w:r>
          <w:rPr>
            <w:rStyle w:val="Hyperlink"/>
          </w:rPr>
          <w:t xml:space="preserve">https://www.law.cornell.edu/uscode/text/15/1681a</w:t>
        </w:r>
      </w:hyperlink>
    </w:p>
    <w:p>
      <w:pPr>
        <w:pStyle w:val="BodyText"/>
      </w:pPr>
      <w:hyperlink r:id="rId23">
        <w:r>
          <w:rPr>
            <w:rStyle w:val="Hyperlink"/>
          </w:rPr>
          <w:t xml:space="preserve">[3]</w:t>
        </w:r>
      </w:hyperlink>
      <w:r>
        <w:t xml:space="preserve"> </w:t>
      </w:r>
      <w:hyperlink r:id="rId23">
        <w:r>
          <w:rPr>
            <w:rStyle w:val="Hyperlink"/>
          </w:rPr>
          <w:t xml:space="preserve">[6]</w:t>
        </w:r>
      </w:hyperlink>
      <w:r>
        <w:t xml:space="preserve"> </w:t>
      </w:r>
      <w:hyperlink r:id="rId23">
        <w:r>
          <w:rPr>
            <w:rStyle w:val="Hyperlink"/>
          </w:rPr>
          <w:t xml:space="preserve">[16]</w:t>
        </w:r>
      </w:hyperlink>
      <w:r>
        <w:t xml:space="preserve"> </w:t>
      </w:r>
      <w:hyperlink r:id="rId23">
        <w:r>
          <w:rPr>
            <w:rStyle w:val="Hyperlink"/>
          </w:rPr>
          <w:t xml:space="preserve">[39]</w:t>
        </w:r>
      </w:hyperlink>
      <w:r>
        <w:t xml:space="preserve"> </w:t>
      </w:r>
      <w:r>
        <w:t xml:space="preserve">Pricing</w:t>
      </w:r>
    </w:p>
    <w:p>
      <w:pPr>
        <w:pStyle w:val="BodyText"/>
      </w:pPr>
      <w:hyperlink r:id="rId23">
        <w:r>
          <w:rPr>
            <w:rStyle w:val="Hyperlink"/>
          </w:rPr>
          <w:t xml:space="preserve">https://www.stessa.com/pricing/?utm_source=chatgpt.com</w:t>
        </w:r>
      </w:hyperlink>
    </w:p>
    <w:p>
      <w:pPr>
        <w:pStyle w:val="BodyText"/>
      </w:pPr>
      <w:hyperlink r:id="rId25">
        <w:r>
          <w:rPr>
            <w:rStyle w:val="Hyperlink"/>
          </w:rPr>
          <w:t xml:space="preserve">[4]</w:t>
        </w:r>
      </w:hyperlink>
      <w:r>
        <w:t xml:space="preserve"> </w:t>
      </w:r>
      <w:r>
        <w:t xml:space="preserve">https://fred.stlouisfed.org/data/ERNTOCCUSQ176N.txt</w:t>
      </w:r>
    </w:p>
    <w:p>
      <w:pPr>
        <w:pStyle w:val="BodyText"/>
      </w:pPr>
      <w:hyperlink r:id="rId25">
        <w:r>
          <w:rPr>
            <w:rStyle w:val="Hyperlink"/>
          </w:rPr>
          <w:t xml:space="preserve">https://fred.stlouisfed.org/data/ERNTOCCUSQ176N.txt</w:t>
        </w:r>
      </w:hyperlink>
    </w:p>
    <w:p>
      <w:pPr>
        <w:pStyle w:val="BodyText"/>
      </w:pPr>
      <w:hyperlink r:id="rId26">
        <w:r>
          <w:rPr>
            <w:rStyle w:val="Hyperlink"/>
          </w:rPr>
          <w:t xml:space="preserve">[5]</w:t>
        </w:r>
      </w:hyperlink>
      <w:r>
        <w:t xml:space="preserve"> </w:t>
      </w:r>
      <w:hyperlink r:id="rId26">
        <w:r>
          <w:rPr>
            <w:rStyle w:val="Hyperlink"/>
          </w:rPr>
          <w:t xml:space="preserve">[37]</w:t>
        </w:r>
      </w:hyperlink>
      <w:r>
        <w:t xml:space="preserve"> </w:t>
      </w:r>
      <w:r>
        <w:t xml:space="preserve">https://data.aclum.org/storage/2025/01/HUD_www_hud_gov_press_press_releases_media_advisories_hud_no_24_098.pdf</w:t>
      </w:r>
    </w:p>
    <w:p>
      <w:pPr>
        <w:pStyle w:val="BodyText"/>
      </w:pPr>
      <w:hyperlink r:id="rId26">
        <w:r>
          <w:rPr>
            <w:rStyle w:val="Hyperlink"/>
          </w:rPr>
          <w:t xml:space="preserve">https://data.aclum.org/storage/2025/01/HUD_www_hud_gov_press_press_releases_media_advisories_hud_no_24_098.pdf</w:t>
        </w:r>
      </w:hyperlink>
    </w:p>
    <w:p>
      <w:pPr>
        <w:pStyle w:val="BodyText"/>
      </w:pPr>
      <w:hyperlink r:id="rId27">
        <w:r>
          <w:rPr>
            <w:rStyle w:val="Hyperlink"/>
          </w:rPr>
          <w:t xml:space="preserve">[7]</w:t>
        </w:r>
      </w:hyperlink>
      <w:r>
        <w:t xml:space="preserve"> </w:t>
      </w:r>
      <w:hyperlink r:id="rId27">
        <w:r>
          <w:rPr>
            <w:rStyle w:val="Hyperlink"/>
          </w:rPr>
          <w:t xml:space="preserve">[12]</w:t>
        </w:r>
      </w:hyperlink>
      <w:r>
        <w:t xml:space="preserve"> </w:t>
      </w:r>
      <w:r>
        <w:t xml:space="preserve">RentRedi Software 2026: Features, Integrations, Pros &amp; Cons</w:t>
      </w:r>
    </w:p>
    <w:p>
      <w:pPr>
        <w:pStyle w:val="BodyText"/>
      </w:pPr>
      <w:hyperlink r:id="rId27">
        <w:r>
          <w:rPr>
            <w:rStyle w:val="Hyperlink"/>
          </w:rPr>
          <w:t xml:space="preserve">https://www.capterra.com/p/199707/RentRedi/?utm_source=chatgpt.com</w:t>
        </w:r>
      </w:hyperlink>
    </w:p>
    <w:p>
      <w:pPr>
        <w:pStyle w:val="BodyText"/>
      </w:pPr>
      <w:hyperlink r:id="rId28">
        <w:r>
          <w:rPr>
            <w:rStyle w:val="Hyperlink"/>
          </w:rPr>
          <w:t xml:space="preserve">[8]</w:t>
        </w:r>
      </w:hyperlink>
      <w:r>
        <w:t xml:space="preserve"> </w:t>
      </w:r>
      <w:hyperlink r:id="rId28">
        <w:r>
          <w:rPr>
            <w:rStyle w:val="Hyperlink"/>
          </w:rPr>
          <w:t xml:space="preserve">[35]</w:t>
        </w:r>
      </w:hyperlink>
      <w:r>
        <w:t xml:space="preserve"> </w:t>
      </w:r>
      <w:r>
        <w:t xml:space="preserve">Algorithmic devices that set rent are prohibited in San ...</w:t>
      </w:r>
    </w:p>
    <w:p>
      <w:pPr>
        <w:pStyle w:val="BodyText"/>
      </w:pPr>
      <w:hyperlink r:id="rId28">
        <w:r>
          <w:rPr>
            <w:rStyle w:val="Hyperlink"/>
          </w:rPr>
          <w:t xml:space="preserve">https://www.sf.gov/information--algorithmic-devices-set-rent-are-prohibited-san-francisco?utm_source=chatgpt.com</w:t>
        </w:r>
      </w:hyperlink>
    </w:p>
    <w:p>
      <w:pPr>
        <w:pStyle w:val="BodyText"/>
      </w:pPr>
      <w:hyperlink r:id="rId29">
        <w:r>
          <w:rPr>
            <w:rStyle w:val="Hyperlink"/>
          </w:rPr>
          <w:t xml:space="preserve">[9]</w:t>
        </w:r>
      </w:hyperlink>
      <w:r>
        <w:t xml:space="preserve"> </w:t>
      </w:r>
      <w:hyperlink r:id="rId29">
        <w:r>
          <w:rPr>
            <w:rStyle w:val="Hyperlink"/>
          </w:rPr>
          <w:t xml:space="preserve">[18]</w:t>
        </w:r>
      </w:hyperlink>
      <w:r>
        <w:t xml:space="preserve"> </w:t>
      </w:r>
      <w:r>
        <w:t xml:space="preserve">Avail Pricing: One Platform for Every Landlord</w:t>
      </w:r>
    </w:p>
    <w:p>
      <w:pPr>
        <w:pStyle w:val="BodyText"/>
      </w:pPr>
      <w:hyperlink r:id="rId29">
        <w:r>
          <w:rPr>
            <w:rStyle w:val="Hyperlink"/>
          </w:rPr>
          <w:t xml:space="preserve">https://www.avail.com/pricing?utm_source=chatgpt.com</w:t>
        </w:r>
      </w:hyperlink>
    </w:p>
    <w:p>
      <w:pPr>
        <w:pStyle w:val="BodyText"/>
      </w:pPr>
      <w:hyperlink r:id="rId30">
        <w:r>
          <w:rPr>
            <w:rStyle w:val="Hyperlink"/>
          </w:rPr>
          <w:t xml:space="preserve">[10]</w:t>
        </w:r>
      </w:hyperlink>
      <w:r>
        <w:t xml:space="preserve"> </w:t>
      </w:r>
      <w:hyperlink r:id="rId30">
        <w:r>
          <w:rPr>
            <w:rStyle w:val="Hyperlink"/>
          </w:rPr>
          <w:t xml:space="preserve">[25]</w:t>
        </w:r>
      </w:hyperlink>
      <w:r>
        <w:t xml:space="preserve"> </w:t>
      </w:r>
      <w:hyperlink r:id="rId30">
        <w:r>
          <w:rPr>
            <w:rStyle w:val="Hyperlink"/>
          </w:rPr>
          <w:t xml:space="preserve">[30]</w:t>
        </w:r>
      </w:hyperlink>
      <w:r>
        <w:t xml:space="preserve"> </w:t>
      </w:r>
      <w:r>
        <w:t xml:space="preserve">https://www.ftc.gov/legal-library/browse/statutes/fair-credit-reporting-act</w:t>
      </w:r>
    </w:p>
    <w:p>
      <w:pPr>
        <w:pStyle w:val="BodyText"/>
      </w:pPr>
      <w:hyperlink r:id="rId30">
        <w:r>
          <w:rPr>
            <w:rStyle w:val="Hyperlink"/>
          </w:rPr>
          <w:t xml:space="preserve">https://www.ftc.gov/legal-library/browse/statutes/fair-credit-reporting-act</w:t>
        </w:r>
      </w:hyperlink>
    </w:p>
    <w:p>
      <w:pPr>
        <w:pStyle w:val="BodyText"/>
      </w:pPr>
      <w:hyperlink r:id="rId31">
        <w:r>
          <w:rPr>
            <w:rStyle w:val="Hyperlink"/>
          </w:rPr>
          <w:t xml:space="preserve">[11]</w:t>
        </w:r>
      </w:hyperlink>
      <w:r>
        <w:t xml:space="preserve"> </w:t>
      </w:r>
      <w:r>
        <w:t xml:space="preserve">Pricing</w:t>
      </w:r>
    </w:p>
    <w:p>
      <w:pPr>
        <w:pStyle w:val="BodyText"/>
      </w:pPr>
      <w:hyperlink r:id="rId31">
        <w:r>
          <w:rPr>
            <w:rStyle w:val="Hyperlink"/>
          </w:rPr>
          <w:t xml:space="preserve">https://www.buildium.com/pricing/?utm_source=chatgpt.com</w:t>
        </w:r>
      </w:hyperlink>
    </w:p>
    <w:p>
      <w:pPr>
        <w:pStyle w:val="BodyText"/>
      </w:pPr>
      <w:hyperlink r:id="rId32">
        <w:r>
          <w:rPr>
            <w:rStyle w:val="Hyperlink"/>
          </w:rPr>
          <w:t xml:space="preserve">[13]</w:t>
        </w:r>
      </w:hyperlink>
      <w:r>
        <w:t xml:space="preserve"> </w:t>
      </w:r>
      <w:r>
        <w:t xml:space="preserve">https://ir.appfolioinc.com/node/11806/pdf</w:t>
      </w:r>
    </w:p>
    <w:p>
      <w:pPr>
        <w:pStyle w:val="BodyText"/>
      </w:pPr>
      <w:hyperlink r:id="rId32">
        <w:r>
          <w:rPr>
            <w:rStyle w:val="Hyperlink"/>
          </w:rPr>
          <w:t xml:space="preserve">https://ir.appfolioinc.com/node/11806/pdf</w:t>
        </w:r>
      </w:hyperlink>
    </w:p>
    <w:p>
      <w:pPr>
        <w:pStyle w:val="BodyText"/>
      </w:pPr>
      <w:hyperlink r:id="rId33">
        <w:r>
          <w:rPr>
            <w:rStyle w:val="Hyperlink"/>
          </w:rPr>
          <w:t xml:space="preserve">[14]</w:t>
        </w:r>
      </w:hyperlink>
      <w:r>
        <w:t xml:space="preserve"> </w:t>
      </w:r>
      <w:hyperlink r:id="rId33">
        <w:r>
          <w:rPr>
            <w:rStyle w:val="Hyperlink"/>
          </w:rPr>
          <w:t xml:space="preserve">[15]</w:t>
        </w:r>
      </w:hyperlink>
      <w:r>
        <w:t xml:space="preserve"> </w:t>
      </w:r>
      <w:hyperlink r:id="rId33">
        <w:r>
          <w:rPr>
            <w:rStyle w:val="Hyperlink"/>
          </w:rPr>
          <w:t xml:space="preserve">[43]</w:t>
        </w:r>
      </w:hyperlink>
      <w:r>
        <w:t xml:space="preserve"> </w:t>
      </w:r>
      <w:r>
        <w:t xml:space="preserve">https://www.yardibreeze.com/residential-features/</w:t>
      </w:r>
    </w:p>
    <w:p>
      <w:pPr>
        <w:pStyle w:val="BodyText"/>
      </w:pPr>
      <w:hyperlink r:id="rId33">
        <w:r>
          <w:rPr>
            <w:rStyle w:val="Hyperlink"/>
          </w:rPr>
          <w:t xml:space="preserve">https://www.yardibreeze.com/residential-features/</w:t>
        </w:r>
      </w:hyperlink>
    </w:p>
    <w:p>
      <w:pPr>
        <w:pStyle w:val="BodyText"/>
      </w:pPr>
      <w:hyperlink r:id="rId35">
        <w:r>
          <w:rPr>
            <w:rStyle w:val="Hyperlink"/>
          </w:rPr>
          <w:t xml:space="preserve">[17]</w:t>
        </w:r>
      </w:hyperlink>
      <w:r>
        <w:t xml:space="preserve"> </w:t>
      </w:r>
      <w:r>
        <w:t xml:space="preserve">Household Mobility Fell to Record Low in 2024</w:t>
      </w:r>
    </w:p>
    <w:p>
      <w:pPr>
        <w:pStyle w:val="BodyText"/>
      </w:pPr>
      <w:hyperlink r:id="rId35">
        <w:r>
          <w:rPr>
            <w:rStyle w:val="Hyperlink"/>
          </w:rPr>
          <w:t xml:space="preserve">https://www.jchs.harvard.edu/blog/household-mobility-fell-record-low-2024?utm_source=chatgpt.com</w:t>
        </w:r>
      </w:hyperlink>
    </w:p>
    <w:p>
      <w:pPr>
        <w:pStyle w:val="BodyText"/>
      </w:pPr>
      <w:hyperlink r:id="rId37">
        <w:r>
          <w:rPr>
            <w:rStyle w:val="Hyperlink"/>
          </w:rPr>
          <w:t xml:space="preserve">[19]</w:t>
        </w:r>
      </w:hyperlink>
      <w:r>
        <w:t xml:space="preserve"> </w:t>
      </w:r>
      <w:hyperlink r:id="rId37">
        <w:r>
          <w:rPr>
            <w:rStyle w:val="Hyperlink"/>
          </w:rPr>
          <w:t xml:space="preserve">[41]</w:t>
        </w:r>
      </w:hyperlink>
      <w:r>
        <w:t xml:space="preserve"> </w:t>
      </w:r>
      <w:r>
        <w:t xml:space="preserve">TurboTenant Pricing</w:t>
      </w:r>
    </w:p>
    <w:p>
      <w:pPr>
        <w:pStyle w:val="BodyText"/>
      </w:pPr>
      <w:hyperlink r:id="rId37">
        <w:r>
          <w:rPr>
            <w:rStyle w:val="Hyperlink"/>
          </w:rPr>
          <w:t xml:space="preserve">https://www.turbotenant.com/pricing/?utm_source=chatgpt.com</w:t>
        </w:r>
      </w:hyperlink>
    </w:p>
    <w:p>
      <w:pPr>
        <w:pStyle w:val="BodyText"/>
      </w:pPr>
      <w:hyperlink r:id="rId38">
        <w:r>
          <w:rPr>
            <w:rStyle w:val="Hyperlink"/>
          </w:rPr>
          <w:t xml:space="preserve">[20]</w:t>
        </w:r>
      </w:hyperlink>
      <w:r>
        <w:t xml:space="preserve"> </w:t>
      </w:r>
      <w:hyperlink r:id="rId38">
        <w:r>
          <w:rPr>
            <w:rStyle w:val="Hyperlink"/>
          </w:rPr>
          <w:t xml:space="preserve">[27]</w:t>
        </w:r>
      </w:hyperlink>
      <w:r>
        <w:t xml:space="preserve"> </w:t>
      </w:r>
      <w:r>
        <w:t xml:space="preserve">Property Management Software Pricing</w:t>
      </w:r>
    </w:p>
    <w:p>
      <w:pPr>
        <w:pStyle w:val="BodyText"/>
      </w:pPr>
      <w:hyperlink r:id="rId38">
        <w:r>
          <w:rPr>
            <w:rStyle w:val="Hyperlink"/>
          </w:rPr>
          <w:t xml:space="preserve">https://www.tenantcloud.com/pricing?utm_source=chatgpt.com</w:t>
        </w:r>
      </w:hyperlink>
    </w:p>
    <w:p>
      <w:pPr>
        <w:pStyle w:val="BodyText"/>
      </w:pPr>
      <w:hyperlink r:id="rId40">
        <w:r>
          <w:rPr>
            <w:rStyle w:val="Hyperlink"/>
          </w:rPr>
          <w:t xml:space="preserve">[21]</w:t>
        </w:r>
      </w:hyperlink>
      <w:r>
        <w:t xml:space="preserve"> </w:t>
      </w:r>
      <w:r>
        <w:t xml:space="preserve">The True Cost of an Eviction</w:t>
      </w:r>
    </w:p>
    <w:p>
      <w:pPr>
        <w:pStyle w:val="BodyText"/>
      </w:pPr>
      <w:hyperlink r:id="rId40">
        <w:r>
          <w:rPr>
            <w:rStyle w:val="Hyperlink"/>
          </w:rPr>
          <w:t xml:space="preserve">https://www.mysmartmove.com/blog/true-cost-eviction?utm_source=chatgpt.com</w:t>
        </w:r>
      </w:hyperlink>
    </w:p>
    <w:p>
      <w:pPr>
        <w:pStyle w:val="BodyText"/>
      </w:pPr>
      <w:hyperlink r:id="rId41">
        <w:r>
          <w:rPr>
            <w:rStyle w:val="Hyperlink"/>
          </w:rPr>
          <w:t xml:space="preserve">[22]</w:t>
        </w:r>
      </w:hyperlink>
      <w:r>
        <w:t xml:space="preserve"> </w:t>
      </w:r>
      <w:hyperlink r:id="rId41">
        <w:r>
          <w:rPr>
            <w:rStyle w:val="Hyperlink"/>
          </w:rPr>
          <w:t xml:space="preserve">[31]</w:t>
        </w:r>
      </w:hyperlink>
      <w:r>
        <w:t xml:space="preserve"> </w:t>
      </w:r>
      <w:r>
        <w:t xml:space="preserve">https://ag.ny.gov/sites/default/files/changes-in-nys-rent-law.pdf</w:t>
      </w:r>
    </w:p>
    <w:p>
      <w:pPr>
        <w:pStyle w:val="BodyText"/>
      </w:pPr>
      <w:hyperlink r:id="rId41">
        <w:r>
          <w:rPr>
            <w:rStyle w:val="Hyperlink"/>
          </w:rPr>
          <w:t xml:space="preserve">https://ag.ny.gov/sites/default/files/changes-in-nys-rent-law.pdf</w:t>
        </w:r>
      </w:hyperlink>
    </w:p>
    <w:p>
      <w:pPr>
        <w:pStyle w:val="BodyText"/>
      </w:pPr>
      <w:hyperlink r:id="rId44">
        <w:r>
          <w:rPr>
            <w:rStyle w:val="Hyperlink"/>
          </w:rPr>
          <w:t xml:space="preserve">[23]</w:t>
        </w:r>
      </w:hyperlink>
      <w:r>
        <w:t xml:space="preserve"> </w:t>
      </w:r>
      <w:hyperlink r:id="rId44">
        <w:r>
          <w:rPr>
            <w:rStyle w:val="Hyperlink"/>
          </w:rPr>
          <w:t xml:space="preserve">[32]</w:t>
        </w:r>
      </w:hyperlink>
      <w:r>
        <w:t xml:space="preserve"> </w:t>
      </w:r>
      <w:hyperlink r:id="rId44">
        <w:r>
          <w:rPr>
            <w:rStyle w:val="Hyperlink"/>
          </w:rPr>
          <w:t xml:space="preserve">[42]</w:t>
        </w:r>
      </w:hyperlink>
      <w:r>
        <w:t xml:space="preserve"> </w:t>
      </w:r>
      <w:r>
        <w:t xml:space="preserve">https://www.sciencedirect.com/science/article/pii/S107158199990349X</w:t>
      </w:r>
    </w:p>
    <w:p>
      <w:pPr>
        <w:pStyle w:val="BodyText"/>
      </w:pPr>
      <w:hyperlink r:id="rId44">
        <w:r>
          <w:rPr>
            <w:rStyle w:val="Hyperlink"/>
          </w:rPr>
          <w:t xml:space="preserve">https://www.sciencedirect.com/science/article/pii/S107158199990349X</w:t>
        </w:r>
      </w:hyperlink>
    </w:p>
    <w:p>
      <w:pPr>
        <w:pStyle w:val="BodyText"/>
      </w:pPr>
      <w:hyperlink r:id="rId45">
        <w:r>
          <w:rPr>
            <w:rStyle w:val="Hyperlink"/>
          </w:rPr>
          <w:t xml:space="preserve">[24]</w:t>
        </w:r>
      </w:hyperlink>
      <w:r>
        <w:t xml:space="preserve"> </w:t>
      </w:r>
      <w:r>
        <w:t xml:space="preserve">https://snappt.com/</w:t>
      </w:r>
    </w:p>
    <w:p>
      <w:pPr>
        <w:pStyle w:val="BodyText"/>
      </w:pPr>
      <w:hyperlink r:id="rId45">
        <w:r>
          <w:rPr>
            <w:rStyle w:val="Hyperlink"/>
          </w:rPr>
          <w:t xml:space="preserve">https://snappt.com/</w:t>
        </w:r>
      </w:hyperlink>
    </w:p>
    <w:p>
      <w:pPr>
        <w:pStyle w:val="BodyText"/>
      </w:pPr>
      <w:hyperlink r:id="rId47">
        <w:r>
          <w:rPr>
            <w:rStyle w:val="Hyperlink"/>
          </w:rPr>
          <w:t xml:space="preserve">[26]</w:t>
        </w:r>
      </w:hyperlink>
      <w:r>
        <w:t xml:space="preserve"> </w:t>
      </w:r>
      <w:r>
        <w:t xml:space="preserve">Housing Vacancies and Homeownership - Press Release</w:t>
      </w:r>
    </w:p>
    <w:p>
      <w:pPr>
        <w:pStyle w:val="BodyText"/>
      </w:pPr>
      <w:hyperlink r:id="rId47">
        <w:r>
          <w:rPr>
            <w:rStyle w:val="Hyperlink"/>
          </w:rPr>
          <w:t xml:space="preserve">https://www.census.gov/housing/hvs/current/index.html?utm_source=chatgpt.com</w:t>
        </w:r>
      </w:hyperlink>
    </w:p>
    <w:p>
      <w:pPr>
        <w:pStyle w:val="BodyText"/>
      </w:pPr>
      <w:hyperlink r:id="rId54">
        <w:r>
          <w:rPr>
            <w:rStyle w:val="Hyperlink"/>
          </w:rPr>
          <w:t xml:space="preserve">[29]</w:t>
        </w:r>
      </w:hyperlink>
      <w:r>
        <w:t xml:space="preserve"> </w:t>
      </w:r>
      <w:hyperlink r:id="rId54">
        <w:r>
          <w:rPr>
            <w:rStyle w:val="Hyperlink"/>
          </w:rPr>
          <w:t xml:space="preserve">[40]</w:t>
        </w:r>
      </w:hyperlink>
      <w:r>
        <w:t xml:space="preserve"> </w:t>
      </w:r>
      <w:r>
        <w:t xml:space="preserve">https://www.law.cornell.edu/definitions/uscode.php?def_id=15-USC-648284895-644972389&amp;height=800&amp;iframe=true&amp;term_occur=999&amp;term_src=&amp;width=840</w:t>
      </w:r>
    </w:p>
    <w:p>
      <w:pPr>
        <w:pStyle w:val="BodyText"/>
      </w:pPr>
      <w:hyperlink r:id="rId54">
        <w:r>
          <w:rPr>
            <w:rStyle w:val="Hyperlink"/>
          </w:rPr>
          <w:t xml:space="preserve">https://www.law.cornell.edu/definitions/uscode.php?def_id=15-USC-648284895-644972389&amp;height=800&amp;iframe=true&amp;term_occur=999&amp;term_src=&amp;width=840</w:t>
        </w:r>
      </w:hyperlink>
    </w:p>
    <w:p>
      <w:pPr>
        <w:pStyle w:val="BodyText"/>
      </w:pPr>
      <w:hyperlink r:id="rId57">
        <w:r>
          <w:rPr>
            <w:rStyle w:val="Hyperlink"/>
          </w:rPr>
          <w:t xml:space="preserve">[33]</w:t>
        </w:r>
      </w:hyperlink>
      <w:r>
        <w:t xml:space="preserve"> </w:t>
      </w:r>
      <w:r>
        <w:t xml:space="preserve">https://journals.sagepub.com/doi/10.1518/001872097778543886</w:t>
      </w:r>
    </w:p>
    <w:p>
      <w:pPr>
        <w:pStyle w:val="BodyText"/>
      </w:pPr>
      <w:hyperlink r:id="rId57">
        <w:r>
          <w:rPr>
            <w:rStyle w:val="Hyperlink"/>
          </w:rPr>
          <w:t xml:space="preserve">https://journals.sagepub.com/doi/10.1518/001872097778543886</w:t>
        </w:r>
      </w:hyperlink>
    </w:p>
    <w:p>
      <w:pPr>
        <w:pStyle w:val="BodyText"/>
      </w:pPr>
      <w:hyperlink r:id="rId59">
        <w:r>
          <w:rPr>
            <w:rStyle w:val="Hyperlink"/>
          </w:rPr>
          <w:t xml:space="preserve">[38]</w:t>
        </w:r>
      </w:hyperlink>
      <w:r>
        <w:t xml:space="preserve"> </w:t>
      </w:r>
      <w:r>
        <w:t xml:space="preserve">https://www.theverge.com/2024/11/20/24297692/ai-landlord-tool-saferent-low-income-tenants-discrimination-settlement</w:t>
      </w:r>
    </w:p>
    <w:p>
      <w:pPr>
        <w:pStyle w:val="BodyText"/>
      </w:pPr>
      <w:hyperlink r:id="rId59">
        <w:r>
          <w:rPr>
            <w:rStyle w:val="Hyperlink"/>
          </w:rPr>
          <w:t xml:space="preserve">https://www.theverge.com/2024/11/20/24297692/ai-landlord-tool-saferent-low-income-tenants-discrimination-settlement</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ag.ny.gov/sites/default/files/changes-in-nys-rent-law.pdf" TargetMode="External" /><Relationship Type="http://schemas.openxmlformats.org/officeDocument/2006/relationships/hyperlink" Id="rId26" Target="https://data.aclum.org/storage/2025/01/HUD_www_hud_gov_press_press_releases_media_advisories_hud_no_24_098.pdf" TargetMode="External" /><Relationship Type="http://schemas.openxmlformats.org/officeDocument/2006/relationships/hyperlink" Id="rId25" Target="https://fred.stlouisfed.org/data/ERNTOCCUSQ176N.txt" TargetMode="External" /><Relationship Type="http://schemas.openxmlformats.org/officeDocument/2006/relationships/hyperlink" Id="rId32" Target="https://ir.appfolioinc.com/node/11806/pdf" TargetMode="External" /><Relationship Type="http://schemas.openxmlformats.org/officeDocument/2006/relationships/hyperlink" Id="rId57" Target="https://journals.sagepub.com/doi/10.1518/001872097778543886" TargetMode="External" /><Relationship Type="http://schemas.openxmlformats.org/officeDocument/2006/relationships/hyperlink" Id="rId45" Target="https://snappt.com/" TargetMode="External" /><Relationship Type="http://schemas.openxmlformats.org/officeDocument/2006/relationships/hyperlink" Id="rId29" Target="https://www.avail.com/pricing?utm_source=chatgpt.com" TargetMode="External" /><Relationship Type="http://schemas.openxmlformats.org/officeDocument/2006/relationships/hyperlink" Id="rId31" Target="https://www.buildium.com/pricing/?utm_source=chatgpt.com" TargetMode="External" /><Relationship Type="http://schemas.openxmlformats.org/officeDocument/2006/relationships/hyperlink" Id="rId27" Target="https://www.capterra.com/p/199707/RentRedi/?utm_source=chatgpt.com" TargetMode="External" /><Relationship Type="http://schemas.openxmlformats.org/officeDocument/2006/relationships/hyperlink" Id="rId47" Target="https://www.census.gov/housing/hvs/current/index.html?utm_source=chatgpt.com" TargetMode="External" /><Relationship Type="http://schemas.openxmlformats.org/officeDocument/2006/relationships/hyperlink" Id="rId30" Target="https://www.ftc.gov/legal-library/browse/statutes/fair-credit-reporting-act" TargetMode="External" /><Relationship Type="http://schemas.openxmlformats.org/officeDocument/2006/relationships/hyperlink" Id="rId35" Target="https://www.jchs.harvard.edu/blog/household-mobility-fell-record-low-2024?utm_source=chatgpt.com" TargetMode="External" /><Relationship Type="http://schemas.openxmlformats.org/officeDocument/2006/relationships/hyperlink" Id="rId21" Target="https://www.justice.gov/archives/opa/pr/justice-department-sues-realpage-algorithmic-pricing-scheme-harms-millions-american-renters?utm_source=chatgpt.com" TargetMode="External" /><Relationship Type="http://schemas.openxmlformats.org/officeDocument/2006/relationships/hyperlink" Id="rId54" Target="https://www.law.cornell.edu/definitions/uscode.php?def_id=15-USC-648284895-644972389&amp;height=800&amp;iframe=true&amp;term_occur=999&amp;term_src=&amp;width=840" TargetMode="External" /><Relationship Type="http://schemas.openxmlformats.org/officeDocument/2006/relationships/hyperlink" Id="rId22" Target="https://www.law.cornell.edu/uscode/text/15/1681a" TargetMode="External" /><Relationship Type="http://schemas.openxmlformats.org/officeDocument/2006/relationships/hyperlink" Id="rId40" Target="https://www.mysmartmove.com/blog/true-cost-eviction?utm_source=chatgpt.com" TargetMode="External" /><Relationship Type="http://schemas.openxmlformats.org/officeDocument/2006/relationships/hyperlink" Id="rId44" Target="https://www.sciencedirect.com/science/article/pii/S107158199990349X" TargetMode="External" /><Relationship Type="http://schemas.openxmlformats.org/officeDocument/2006/relationships/hyperlink" Id="rId28" Target="https://www.sf.gov/information--algorithmic-devices-set-rent-are-prohibited-san-francisco?utm_source=chatgpt.com" TargetMode="External" /><Relationship Type="http://schemas.openxmlformats.org/officeDocument/2006/relationships/hyperlink" Id="rId23" Target="https://www.stessa.com/pricing/?utm_source=chatgpt.com" TargetMode="External" /><Relationship Type="http://schemas.openxmlformats.org/officeDocument/2006/relationships/hyperlink" Id="rId38" Target="https://www.tenantcloud.com/pricing?utm_source=chatgpt.com" TargetMode="External" /><Relationship Type="http://schemas.openxmlformats.org/officeDocument/2006/relationships/hyperlink" Id="rId59" Target="https://www.theverge.com/2024/11/20/24297692/ai-landlord-tool-saferent-low-income-tenants-discrimination-settlement" TargetMode="External" /><Relationship Type="http://schemas.openxmlformats.org/officeDocument/2006/relationships/hyperlink" Id="rId37" Target="https://www.turbotenant.com/pricing/?utm_source=chatgpt.com" TargetMode="External" /><Relationship Type="http://schemas.openxmlformats.org/officeDocument/2006/relationships/hyperlink" Id="rId33" Target="https://www.yardibreeze.com/residential-features/" TargetMode="External" /></Relationships>
</file>

<file path=word/_rels/footnotes.xml.rels><?xml version="1.0" encoding="UTF-8"?><Relationships xmlns="http://schemas.openxmlformats.org/package/2006/relationships"><Relationship Type="http://schemas.openxmlformats.org/officeDocument/2006/relationships/hyperlink" Id="rId41" Target="https://ag.ny.gov/sites/default/files/changes-in-nys-rent-law.pdf" TargetMode="External" /><Relationship Type="http://schemas.openxmlformats.org/officeDocument/2006/relationships/hyperlink" Id="rId26" Target="https://data.aclum.org/storage/2025/01/HUD_www_hud_gov_press_press_releases_media_advisories_hud_no_24_098.pdf" TargetMode="External" /><Relationship Type="http://schemas.openxmlformats.org/officeDocument/2006/relationships/hyperlink" Id="rId25" Target="https://fred.stlouisfed.org/data/ERNTOCCUSQ176N.txt" TargetMode="External" /><Relationship Type="http://schemas.openxmlformats.org/officeDocument/2006/relationships/hyperlink" Id="rId32" Target="https://ir.appfolioinc.com/node/11806/pdf" TargetMode="External" /><Relationship Type="http://schemas.openxmlformats.org/officeDocument/2006/relationships/hyperlink" Id="rId57" Target="https://journals.sagepub.com/doi/10.1518/001872097778543886" TargetMode="External" /><Relationship Type="http://schemas.openxmlformats.org/officeDocument/2006/relationships/hyperlink" Id="rId45" Target="https://snappt.com/" TargetMode="External" /><Relationship Type="http://schemas.openxmlformats.org/officeDocument/2006/relationships/hyperlink" Id="rId29" Target="https://www.avail.com/pricing?utm_source=chatgpt.com" TargetMode="External" /><Relationship Type="http://schemas.openxmlformats.org/officeDocument/2006/relationships/hyperlink" Id="rId31" Target="https://www.buildium.com/pricing/?utm_source=chatgpt.com" TargetMode="External" /><Relationship Type="http://schemas.openxmlformats.org/officeDocument/2006/relationships/hyperlink" Id="rId27" Target="https://www.capterra.com/p/199707/RentRedi/?utm_source=chatgpt.com" TargetMode="External" /><Relationship Type="http://schemas.openxmlformats.org/officeDocument/2006/relationships/hyperlink" Id="rId47" Target="https://www.census.gov/housing/hvs/current/index.html?utm_source=chatgpt.com" TargetMode="External" /><Relationship Type="http://schemas.openxmlformats.org/officeDocument/2006/relationships/hyperlink" Id="rId30" Target="https://www.ftc.gov/legal-library/browse/statutes/fair-credit-reporting-act" TargetMode="External" /><Relationship Type="http://schemas.openxmlformats.org/officeDocument/2006/relationships/hyperlink" Id="rId35" Target="https://www.jchs.harvard.edu/blog/household-mobility-fell-record-low-2024?utm_source=chatgpt.com" TargetMode="External" /><Relationship Type="http://schemas.openxmlformats.org/officeDocument/2006/relationships/hyperlink" Id="rId21" Target="https://www.justice.gov/archives/opa/pr/justice-department-sues-realpage-algorithmic-pricing-scheme-harms-millions-american-renters?utm_source=chatgpt.com" TargetMode="External" /><Relationship Type="http://schemas.openxmlformats.org/officeDocument/2006/relationships/hyperlink" Id="rId54" Target="https://www.law.cornell.edu/definitions/uscode.php?def_id=15-USC-648284895-644972389&amp;height=800&amp;iframe=true&amp;term_occur=999&amp;term_src=&amp;width=840" TargetMode="External" /><Relationship Type="http://schemas.openxmlformats.org/officeDocument/2006/relationships/hyperlink" Id="rId22" Target="https://www.law.cornell.edu/uscode/text/15/1681a" TargetMode="External" /><Relationship Type="http://schemas.openxmlformats.org/officeDocument/2006/relationships/hyperlink" Id="rId40" Target="https://www.mysmartmove.com/blog/true-cost-eviction?utm_source=chatgpt.com" TargetMode="External" /><Relationship Type="http://schemas.openxmlformats.org/officeDocument/2006/relationships/hyperlink" Id="rId44" Target="https://www.sciencedirect.com/science/article/pii/S107158199990349X" TargetMode="External" /><Relationship Type="http://schemas.openxmlformats.org/officeDocument/2006/relationships/hyperlink" Id="rId28" Target="https://www.sf.gov/information--algorithmic-devices-set-rent-are-prohibited-san-francisco?utm_source=chatgpt.com" TargetMode="External" /><Relationship Type="http://schemas.openxmlformats.org/officeDocument/2006/relationships/hyperlink" Id="rId23" Target="https://www.stessa.com/pricing/?utm_source=chatgpt.com" TargetMode="External" /><Relationship Type="http://schemas.openxmlformats.org/officeDocument/2006/relationships/hyperlink" Id="rId38" Target="https://www.tenantcloud.com/pricing?utm_source=chatgpt.com" TargetMode="External" /><Relationship Type="http://schemas.openxmlformats.org/officeDocument/2006/relationships/hyperlink" Id="rId59" Target="https://www.theverge.com/2024/11/20/24297692/ai-landlord-tool-saferent-low-income-tenants-discrimination-settlement" TargetMode="External" /><Relationship Type="http://schemas.openxmlformats.org/officeDocument/2006/relationships/hyperlink" Id="rId37" Target="https://www.turbotenant.com/pricing/?utm_source=chatgpt.com" TargetMode="External" /><Relationship Type="http://schemas.openxmlformats.org/officeDocument/2006/relationships/hyperlink" Id="rId33" Target="https://www.yardibreeze.com/residential-featur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2026-04-09T23:29:49Z</dcterms:created>
  <dcterms:modified xsi:type="dcterms:W3CDTF">2026-04-09T23:29:49Z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