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c0f49df180967385700c8405e51925ab33ac645"/>
    <w:p>
      <w:pPr>
        <w:pStyle w:val="Heading1"/>
      </w:pPr>
      <w:r>
        <w:t xml:space="preserve">PropertyOps AI VC and Operations Red-Team Review</w:t>
      </w:r>
    </w:p>
    <w:bookmarkStart w:id="24" w:name="X435fbfeaef06c1113fe8459e2dce701fb983a90"/>
    <w:p>
      <w:pPr>
        <w:pStyle w:val="Heading2"/>
      </w:pPr>
      <w:r>
        <w:t xml:space="preserve">Executive assessment for investors and operators</w:t>
      </w:r>
    </w:p>
    <w:p>
      <w:pPr>
        <w:pStyle w:val="FirstParagraph"/>
      </w:pPr>
      <w:r>
        <w:rPr>
          <w:b/>
          <w:bCs/>
        </w:rPr>
        <w:t xml:space="preserve">PropertyOps AI</w:t>
      </w:r>
      <w:r>
        <w:t xml:space="preserve"> </w:t>
      </w:r>
      <w:r>
        <w:t xml:space="preserve">proposes a constraint-driven, three-step march from “intelligence” to “assistance” to “controlled autonomy,” built around a dual-agent system:</w:t>
      </w:r>
      <w:r>
        <w:t xml:space="preserve"> </w:t>
      </w:r>
      <w:r>
        <w:rPr>
          <w:b/>
          <w:bCs/>
        </w:rPr>
        <w:t xml:space="preserve">Laura</w:t>
      </w:r>
      <w:r>
        <w:t xml:space="preserve"> </w:t>
      </w:r>
      <w:r>
        <w:t xml:space="preserve">(forensic document integrity) and</w:t>
      </w:r>
      <w:r>
        <w:t xml:space="preserve"> </w:t>
      </w:r>
      <w:r>
        <w:rPr>
          <w:b/>
          <w:bCs/>
        </w:rPr>
        <w:t xml:space="preserve">Tony</w:t>
      </w:r>
      <w:r>
        <w:t xml:space="preserve"> </w:t>
      </w:r>
      <w:r>
        <w:t xml:space="preserve">(tenant communications + maintenance coordination), orchestrated by a proprietary multi-agent control plane (“OpenClaw”). fileciteturn1file0</w:t>
      </w:r>
    </w:p>
    <w:p>
      <w:pPr>
        <w:pStyle w:val="BodyText"/>
      </w:pPr>
      <w:r>
        <w:t xml:space="preserve">From a VC lens, the plan’s most investable thesis is</w:t>
      </w:r>
      <w:r>
        <w:t xml:space="preserve"> </w:t>
      </w:r>
      <w:r>
        <w:rPr>
          <w:b/>
          <w:bCs/>
        </w:rPr>
        <w:t xml:space="preserve">not</w:t>
      </w:r>
      <w:r>
        <w:t xml:space="preserve"> </w:t>
      </w:r>
      <w:r>
        <w:t xml:space="preserve">“AI for property management” (now a crowded claim), but rather:</w:t>
      </w:r>
      <w:r>
        <w:t xml:space="preserve"> </w:t>
      </w:r>
      <w:r>
        <w:rPr>
          <w:i/>
          <w:iCs/>
        </w:rPr>
        <w:t xml:space="preserve">win a fragmented segment by addressing high-stakes trust failures (application fraud) with audit-grade outputs, then embed into daily ops, then unlock autonomy only when reliability is empirically demonstrated and gated</w:t>
      </w:r>
      <w:r>
        <w:t xml:space="preserve">. fileciteturn1file0</w:t>
      </w:r>
    </w:p>
    <w:p>
      <w:pPr>
        <w:pStyle w:val="BodyText"/>
      </w:pPr>
      <w:r>
        <w:t xml:space="preserve">Two external market realities support the</w:t>
      </w:r>
      <w:r>
        <w:t xml:space="preserve"> </w:t>
      </w:r>
      <w:r>
        <w:rPr>
          <w:i/>
          <w:iCs/>
        </w:rPr>
        <w:t xml:space="preserve">direction</w:t>
      </w:r>
      <w:r>
        <w:t xml:space="preserve"> </w:t>
      </w:r>
      <w:r>
        <w:t xml:space="preserve">of this wedge-and-expand motion:</w:t>
      </w:r>
    </w:p>
    <w:p>
      <w:pPr>
        <w:pStyle w:val="BodyText"/>
      </w:pPr>
      <w:r>
        <w:t xml:space="preserve">The U.S. rental market is large and structurally fragmented: the</w:t>
      </w:r>
      <w:r>
        <w:t xml:space="preserve"> </w:t>
      </w:r>
      <w:r>
        <w:rPr>
          <w:b/>
          <w:bCs/>
        </w:rPr>
        <w:t xml:space="preserve">2021 Rental Housing Finance Survey (RHFS)</w:t>
      </w:r>
      <w:r>
        <w:t xml:space="preserve"> </w:t>
      </w:r>
      <w:r>
        <w:t xml:space="preserve">reports about</w:t>
      </w:r>
      <w:r>
        <w:t xml:space="preserve"> </w:t>
      </w:r>
      <w:r>
        <w:rPr>
          <w:b/>
          <w:bCs/>
        </w:rPr>
        <w:t xml:space="preserve">49.5M rental units</w:t>
      </w:r>
      <w:r>
        <w:t xml:space="preserve"> </w:t>
      </w:r>
      <w:r>
        <w:t xml:space="preserve">and ~19.3M rental properties, with the majority of properties being small (by unit count per property).</w:t>
      </w:r>
      <w:r>
        <w:t xml:space="preserve"> </w:t>
      </w:r>
      <w:hyperlink r:id="rId21">
        <w:r>
          <w:rPr>
            <w:rStyle w:val="Hyperlink"/>
          </w:rPr>
          <w:t xml:space="preserve">[1]</w:t>
        </w:r>
      </w:hyperlink>
    </w:p>
    <w:p>
      <w:pPr>
        <w:pStyle w:val="BodyText"/>
      </w:pPr>
      <w:r>
        <w:t xml:space="preserve">Application and document fraud is not hypothetical; it is now tracked as a measurable problem at scale by specialist vendors. For example, a widely cited “fraud report” covered in industry press reports that after reviewing millions of documents, a non-trivial share of rental applications showed manipulation indicators.</w:t>
      </w:r>
      <w:r>
        <w:t xml:space="preserve"> </w:t>
      </w:r>
      <w:hyperlink r:id="rId22">
        <w:r>
          <w:rPr>
            <w:rStyle w:val="Hyperlink"/>
          </w:rPr>
          <w:t xml:space="preserve">[2]</w:t>
        </w:r>
      </w:hyperlink>
    </w:p>
    <w:p>
      <w:pPr>
        <w:pStyle w:val="BodyText"/>
      </w:pPr>
      <w:r>
        <w:t xml:space="preserve">That said, the plan’s success depends on whether the wedge creates</w:t>
      </w:r>
      <w:r>
        <w:t xml:space="preserve"> </w:t>
      </w:r>
      <w:r>
        <w:rPr>
          <w:b/>
          <w:bCs/>
        </w:rPr>
        <w:t xml:space="preserve">low-friction adoption</w:t>
      </w:r>
      <w:r>
        <w:t xml:space="preserve"> </w:t>
      </w:r>
      <w:r>
        <w:rPr>
          <w:i/>
          <w:iCs/>
        </w:rPr>
        <w:t xml:space="preserve">and</w:t>
      </w:r>
      <w:r>
        <w:t xml:space="preserve"> </w:t>
      </w:r>
      <w:r>
        <w:t xml:space="preserve">whether the “System of Understanding” positioning remains differentiated as incumbents ship agentic workflows of their own.</w:t>
      </w:r>
      <w:r>
        <w:t xml:space="preserve"> </w:t>
      </w:r>
      <w:hyperlink r:id="rId23">
        <w:r>
          <w:rPr>
            <w:rStyle w:val="Hyperlink"/>
          </w:rPr>
          <w:t xml:space="preserve">[3]</w:t>
        </w:r>
      </w:hyperlink>
    </w:p>
    <w:bookmarkEnd w:id="24"/>
    <w:bookmarkStart w:id="35" w:name="feasibility-of-the-phased-rollout"/>
    <w:p>
      <w:pPr>
        <w:pStyle w:val="Heading2"/>
      </w:pPr>
      <w:r>
        <w:t xml:space="preserve">Feasibility of the phased rollout</w:t>
      </w:r>
    </w:p>
    <w:bookmarkStart w:id="30" w:name="X6545b833b4ba8391c3d9e8890fe77c47ad2c7d2"/>
    <w:p>
      <w:pPr>
        <w:pStyle w:val="Heading3"/>
      </w:pPr>
      <w:r>
        <w:t xml:space="preserve">Phase one wedge viability through forensic document integrity</w:t>
      </w:r>
    </w:p>
    <w:p>
      <w:pPr>
        <w:pStyle w:val="FirstParagraph"/>
      </w:pPr>
      <w:r>
        <w:rPr>
          <w:b/>
          <w:bCs/>
        </w:rPr>
        <w:t xml:space="preserve">Is the wedge technically feasible?</w:t>
      </w:r>
      <w:r>
        <w:t xml:space="preserve"> </w:t>
      </w:r>
      <w:r>
        <w:t xml:space="preserve">Yes—because the market already demonstrates that document verification can be implemented using combinations of document-level checks, cross-field consistency checks, metadata inspection, and structured workflows. For example, AppFolio publicly describes “Document Verification” for pay stubs that runs “document-level and field-level checks” as part of an income verification capability.</w:t>
      </w:r>
      <w:r>
        <w:t xml:space="preserve"> </w:t>
      </w:r>
      <w:hyperlink r:id="rId25">
        <w:r>
          <w:rPr>
            <w:rStyle w:val="Hyperlink"/>
          </w:rPr>
          <w:t xml:space="preserve">[4]</w:t>
        </w:r>
      </w:hyperlink>
    </w:p>
    <w:p>
      <w:pPr>
        <w:pStyle w:val="BodyText"/>
      </w:pPr>
      <w:r>
        <w:t xml:space="preserve">Specialized vendors like Snappt explicitly market “document fraud detection” that examines metadata elements and authenticity signals—indicating this wedge is implementable and valued.</w:t>
      </w:r>
      <w:r>
        <w:t xml:space="preserve"> </w:t>
      </w:r>
      <w:hyperlink r:id="rId26">
        <w:r>
          <w:rPr>
            <w:rStyle w:val="Hyperlink"/>
          </w:rPr>
          <w:t xml:space="preserve">[5]</w:t>
        </w:r>
      </w:hyperlink>
    </w:p>
    <w:p>
      <w:pPr>
        <w:pStyle w:val="BodyText"/>
      </w:pPr>
      <w:r>
        <w:rPr>
          <w:b/>
          <w:bCs/>
        </w:rPr>
        <w:t xml:space="preserve">Is the wedge operationally feasible for customer acquisition?</w:t>
      </w:r>
      <w:r>
        <w:t xml:space="preserve"> </w:t>
      </w:r>
      <w:r>
        <w:t xml:space="preserve">It can be, but only if you reduce workflow friction to near-zero for small landlords. A core adoption challenge is that many landlords already rely on renter-paid application flows (free for landlords) that bundle screening and portability—e.g., Zillow states renters pay a $35 fee and can apply to unlimited participating rentals for 30 days, while landlords don’t pay for the application/screening flow.</w:t>
      </w:r>
      <w:r>
        <w:t xml:space="preserve"> </w:t>
      </w:r>
      <w:hyperlink r:id="rId27">
        <w:r>
          <w:rPr>
            <w:rStyle w:val="Hyperlink"/>
          </w:rPr>
          <w:t xml:space="preserve">[6]</w:t>
        </w:r>
      </w:hyperlink>
    </w:p>
    <w:p>
      <w:pPr>
        <w:pStyle w:val="BodyText"/>
      </w:pPr>
      <w:r>
        <w:t xml:space="preserve">So the wedge is viable if PropertyOps AI makes “Laura” feel like a</w:t>
      </w:r>
      <w:r>
        <w:t xml:space="preserve"> </w:t>
      </w:r>
      <w:r>
        <w:rPr>
          <w:b/>
          <w:bCs/>
        </w:rPr>
        <w:t xml:space="preserve">drop-in trust layer</w:t>
      </w:r>
      <w:r>
        <w:t xml:space="preserve"> </w:t>
      </w:r>
      <w:r>
        <w:t xml:space="preserve">(forward an email, upload a PDF, or plug into existing intake), rather than “yet another portal.” Your plan’s focus on an intake pipeline with access controls and redaction prior to analysis aligns with best-practice risk thinking for sensitive workflows, but the implementation burden is material and must be productized aggressively. fileciteturn1file0</w:t>
      </w:r>
      <w:r>
        <w:t xml:space="preserve"> </w:t>
      </w:r>
      <w:hyperlink r:id="rId28">
        <w:r>
          <w:rPr>
            <w:rStyle w:val="Hyperlink"/>
          </w:rPr>
          <w:t xml:space="preserve">[7]</w:t>
        </w:r>
      </w:hyperlink>
    </w:p>
    <w:p>
      <w:pPr>
        <w:pStyle w:val="BodyText"/>
      </w:pPr>
      <w:r>
        <w:rPr>
          <w:b/>
          <w:bCs/>
        </w:rPr>
        <w:t xml:space="preserve">Wedge durability:</w:t>
      </w:r>
      <w:r>
        <w:t xml:space="preserve"> </w:t>
      </w:r>
      <w:r>
        <w:t xml:space="preserve">The wedge is likely durable as a</w:t>
      </w:r>
      <w:r>
        <w:t xml:space="preserve"> </w:t>
      </w:r>
      <w:r>
        <w:rPr>
          <w:b/>
          <w:bCs/>
        </w:rPr>
        <w:t xml:space="preserve">go-to-market entry point</w:t>
      </w:r>
      <w:r>
        <w:t xml:space="preserve">, not as a long-term moat, because incumbents can and are adding similar primitives (document verification and identity/income checks), and enterprise vendors like RealPage market fraud prevention and verification as integrated leasing capabilities.</w:t>
      </w:r>
      <w:r>
        <w:t xml:space="preserve"> </w:t>
      </w:r>
      <w:hyperlink r:id="rId29">
        <w:r>
          <w:rPr>
            <w:rStyle w:val="Hyperlink"/>
          </w:rPr>
          <w:t xml:space="preserve">[8]</w:t>
        </w:r>
      </w:hyperlink>
    </w:p>
    <w:bookmarkEnd w:id="30"/>
    <w:bookmarkStart w:id="34" w:name="Xf422dbacafc0bdb54bb11516349f090a37ba929"/>
    <w:p>
      <w:pPr>
        <w:pStyle w:val="Heading3"/>
      </w:pPr>
      <w:r>
        <w:t xml:space="preserve">Phase two habit loop through a drafting-only agent</w:t>
      </w:r>
    </w:p>
    <w:p>
      <w:pPr>
        <w:pStyle w:val="FirstParagraph"/>
      </w:pPr>
      <w:r>
        <w:t xml:space="preserve">Your plan positions Tony as “drafting-only” in early phases: he classifies urgency, drafts responses, and prepares work orders, but requires a human click to “Approve &amp; Send,” explicitly framed as liability containment while building user trust. fileciteturn1file0</w:t>
      </w:r>
    </w:p>
    <w:p>
      <w:pPr>
        <w:pStyle w:val="BodyText"/>
      </w:pPr>
      <w:r>
        <w:rPr>
          <w:b/>
          <w:bCs/>
        </w:rPr>
        <w:t xml:space="preserve">This is operationally sensible, but it does not eliminate liability.</w:t>
      </w:r>
      <w:r>
        <w:t xml:space="preserve"> </w:t>
      </w:r>
      <w:r>
        <w:t xml:space="preserve">The reason is human overreliance: in many AI-assisted settings, people can develop</w:t>
      </w:r>
      <w:r>
        <w:t xml:space="preserve"> </w:t>
      </w:r>
      <w:r>
        <w:rPr>
          <w:b/>
          <w:bCs/>
        </w:rPr>
        <w:t xml:space="preserve">automation bias</w:t>
      </w:r>
      <w:r>
        <w:t xml:space="preserve">—a tendency to defer to system suggestions, especially under time pressure and queue load. Reviews of automation bias in AI-supported decision workflows emphasize that overreliance is a predictable failure mode, even when humans remain nominally “in the loop.”</w:t>
      </w:r>
      <w:r>
        <w:t xml:space="preserve"> </w:t>
      </w:r>
      <w:hyperlink r:id="rId31">
        <w:r>
          <w:rPr>
            <w:rStyle w:val="Hyperlink"/>
          </w:rPr>
          <w:t xml:space="preserve">[9]</w:t>
        </w:r>
      </w:hyperlink>
    </w:p>
    <w:p>
      <w:pPr>
        <w:pStyle w:val="BodyText"/>
      </w:pPr>
      <w:r>
        <w:t xml:space="preserve">Your plan’s explicit “anti-automation-bias UI” concept (“forced read &amp; confirm” for safety-adjacent items; red-flag surfacing; no default one-click for safety-critical) directly targets that known failure mode, which is a strong design choice. fileciteturn1file0</w:t>
      </w:r>
      <w:r>
        <w:t xml:space="preserve"> </w:t>
      </w:r>
      <w:hyperlink r:id="rId32">
        <w:r>
          <w:rPr>
            <w:rStyle w:val="Hyperlink"/>
          </w:rPr>
          <w:t xml:space="preserve">[10]</w:t>
        </w:r>
      </w:hyperlink>
    </w:p>
    <w:p>
      <w:pPr>
        <w:pStyle w:val="BodyText"/>
      </w:pPr>
      <w:r>
        <w:rPr>
          <w:b/>
          <w:bCs/>
        </w:rPr>
        <w:t xml:space="preserve">Practical feasibility hinge:</w:t>
      </w:r>
      <w:r>
        <w:t xml:space="preserve"> </w:t>
      </w:r>
      <w:r>
        <w:t xml:space="preserve">Phase two succeeds if Mission Control becomes a real “daily inbox” and not a parallel channel. The plan’s approach—routing email/SMS into a unified queue with ready-to-approve drafts—is aligned with how incumbents discuss AI value in property management (drafting, summarization, triage). fileciteturn1file0</w:t>
      </w:r>
      <w:r>
        <w:t xml:space="preserve"> </w:t>
      </w:r>
      <w:hyperlink r:id="rId33">
        <w:r>
          <w:rPr>
            <w:rStyle w:val="Hyperlink"/>
          </w:rPr>
          <w:t xml:space="preserve">[11]</w:t>
        </w:r>
      </w:hyperlink>
    </w:p>
    <w:bookmarkEnd w:id="34"/>
    <w:bookmarkEnd w:id="35"/>
    <w:bookmarkStart w:id="44" w:name="X9ae2e4f7fa113b9c8b969c1868ae9b551a9f425"/>
    <w:p>
      <w:pPr>
        <w:pStyle w:val="Heading2"/>
      </w:pPr>
      <w:r>
        <w:t xml:space="preserve">Safety and liability audit for controlled autonomy</w:t>
      </w:r>
    </w:p>
    <w:bookmarkStart w:id="38" w:name="X159bb1eafaa22685eb20dcfa88e474b3d01a2bd"/>
    <w:p>
      <w:pPr>
        <w:pStyle w:val="Heading3"/>
      </w:pPr>
      <w:r>
        <w:t xml:space="preserve">The original gate proposal is not sufficient as written in the prompt</w:t>
      </w:r>
    </w:p>
    <w:p>
      <w:pPr>
        <w:pStyle w:val="FirstParagraph"/>
      </w:pPr>
      <w:r>
        <w:t xml:space="preserve">The gate set in your prompt—</w:t>
      </w:r>
      <w:r>
        <w:rPr>
          <w:b/>
          <w:bCs/>
        </w:rPr>
        <w:t xml:space="preserve">cost under $250, 95% confidence, and no escalation history</w:t>
      </w:r>
      <w:r>
        <w:t xml:space="preserve">—is not sufficient to prevent “hallucinated emergency misclassifications,” for three concrete reasons:</w:t>
      </w:r>
    </w:p>
    <w:p>
      <w:pPr>
        <w:pStyle w:val="BodyText"/>
      </w:pPr>
      <w:r>
        <w:t xml:space="preserve">Cost is not a safety proxy: emergencies include conditions like gas smell, sewer backup, broken exterior locks, major leaks, and fire/smoke—many of which can begin as “low-dollar” calls but are high consequence.</w:t>
      </w:r>
      <w:r>
        <w:t xml:space="preserve"> </w:t>
      </w:r>
      <w:hyperlink r:id="rId36">
        <w:r>
          <w:rPr>
            <w:rStyle w:val="Hyperlink"/>
          </w:rPr>
          <w:t xml:space="preserve">[12]</w:t>
        </w:r>
      </w:hyperlink>
    </w:p>
    <w:p>
      <w:pPr>
        <w:pStyle w:val="BodyText"/>
      </w:pPr>
      <w:r>
        <w:t xml:space="preserve">A nominal “95% confidence” is not meaningful unless confidence is empirically calibrated. Multiple research efforts and benchmarks show that LLM confidence/uncertainty can be systematically miscalibrated or overconfident without explicit calibration techniques.</w:t>
      </w:r>
      <w:r>
        <w:t xml:space="preserve"> </w:t>
      </w:r>
      <w:hyperlink r:id="rId37">
        <w:r>
          <w:rPr>
            <w:rStyle w:val="Hyperlink"/>
          </w:rPr>
          <w:t xml:space="preserve">[13]</w:t>
        </w:r>
      </w:hyperlink>
    </w:p>
    <w:p>
      <w:pPr>
        <w:pStyle w:val="BodyText"/>
      </w:pPr>
      <w:r>
        <w:t xml:space="preserve">“No escalation history” is structurally weak for early customers (insufficient sample size) and brittle under context shifts (weather events, building age, occupancy patterns). Safety gates should depend on</w:t>
      </w:r>
      <w:r>
        <w:t xml:space="preserve"> </w:t>
      </w:r>
      <w:r>
        <w:rPr>
          <w:i/>
          <w:iCs/>
        </w:rPr>
        <w:t xml:space="preserve">hazard definitions and reversibility</w:t>
      </w:r>
      <w:r>
        <w:t xml:space="preserve">, not only on historical absence of escalation.</w:t>
      </w:r>
      <w:r>
        <w:t xml:space="preserve"> </w:t>
      </w:r>
      <w:hyperlink r:id="rId36">
        <w:r>
          <w:rPr>
            <w:rStyle w:val="Hyperlink"/>
          </w:rPr>
          <w:t xml:space="preserve">[14]</w:t>
        </w:r>
      </w:hyperlink>
    </w:p>
    <w:bookmarkEnd w:id="38"/>
    <w:bookmarkStart w:id="40" w:name="Xe9e5fb0865a7cf295e78f2fc74f8e7d6dff1f3a"/>
    <w:p>
      <w:pPr>
        <w:pStyle w:val="Heading3"/>
      </w:pPr>
      <w:r>
        <w:t xml:space="preserve">Your v4.2 plan already corrects the most dangerous parts of that gate</w:t>
      </w:r>
    </w:p>
    <w:p>
      <w:pPr>
        <w:pStyle w:val="FirstParagraph"/>
      </w:pPr>
      <w:r>
        <w:t xml:space="preserve">Importantly, the uploaded plan (v4.2) indicates you have</w:t>
      </w:r>
      <w:r>
        <w:t xml:space="preserve"> </w:t>
      </w:r>
      <w:r>
        <w:rPr>
          <w:b/>
          <w:bCs/>
        </w:rPr>
        <w:t xml:space="preserve">replaced</w:t>
      </w:r>
      <w:r>
        <w:t xml:space="preserve"> </w:t>
      </w:r>
      <w:r>
        <w:t xml:space="preserve">the “cheap + confident” framework with a</w:t>
      </w:r>
      <w:r>
        <w:t xml:space="preserve"> </w:t>
      </w:r>
      <w:r>
        <w:rPr>
          <w:b/>
          <w:bCs/>
        </w:rPr>
        <w:t xml:space="preserve">four-part safety architecture</w:t>
      </w:r>
      <w:r>
        <w:t xml:space="preserve">: hard-stop emergency taxonomy, two-stage triage, calibrated confidence + abstention logic, and anti-automation-bias UI. fileciteturn1file0</w:t>
      </w:r>
    </w:p>
    <w:p>
      <w:pPr>
        <w:pStyle w:val="BodyText"/>
      </w:pPr>
      <w:r>
        <w:t xml:space="preserve">This is directionally consistent with “trustworthy AI” risk management guidance: document risks, design for reliability, support human review, and build accountability mechanisms.</w:t>
      </w:r>
      <w:r>
        <w:t xml:space="preserve"> </w:t>
      </w:r>
      <w:hyperlink r:id="rId28">
        <w:r>
          <w:rPr>
            <w:rStyle w:val="Hyperlink"/>
          </w:rPr>
          <w:t xml:space="preserve">[15]</w:t>
        </w:r>
      </w:hyperlink>
    </w:p>
    <w:p>
      <w:pPr>
        <w:pStyle w:val="BodyText"/>
      </w:pPr>
      <w:r>
        <w:rPr>
          <w:b/>
          <w:bCs/>
        </w:rPr>
        <w:t xml:space="preserve">Gate quality assessment:</w:t>
      </w:r>
    </w:p>
    <w:p>
      <w:pPr>
        <w:pStyle w:val="BodyText"/>
      </w:pPr>
      <w:r>
        <w:t xml:space="preserve">Hard-stop emergency taxonomy is a necessary baseline. It matches how operational guidance typically defines emergency maintenance (gas leaks, major leaks/sewer backups, power loss, security breaches, and fire/smoke).</w:t>
      </w:r>
      <w:r>
        <w:t xml:space="preserve"> </w:t>
      </w:r>
      <w:hyperlink r:id="rId36">
        <w:r>
          <w:rPr>
            <w:rStyle w:val="Hyperlink"/>
          </w:rPr>
          <w:t xml:space="preserve">[12]</w:t>
        </w:r>
      </w:hyperlink>
    </w:p>
    <w:p>
      <w:pPr>
        <w:pStyle w:val="BodyText"/>
      </w:pPr>
      <w:r>
        <w:t xml:space="preserve">Two-stage triage (clarify before acting) is a critical mitigation for hallucination-driven misclassification because it reduces reliance on a single ambiguous tenant message. This is consistent with patterns in market offerings that emphasize emergency detection and troubleshooting rather than one-shot classification.</w:t>
      </w:r>
      <w:r>
        <w:t xml:space="preserve"> </w:t>
      </w:r>
      <w:hyperlink r:id="rId39">
        <w:r>
          <w:rPr>
            <w:rStyle w:val="Hyperlink"/>
          </w:rPr>
          <w:t xml:space="preserve">[16]</w:t>
        </w:r>
      </w:hyperlink>
    </w:p>
    <w:p>
      <w:pPr>
        <w:pStyle w:val="BodyText"/>
      </w:pPr>
      <w:r>
        <w:t xml:space="preserve">Calibrated confidence + abstention is a strong concept when enforced as a hard gate. Your plan explicitly states Phase three entry requires labeled historical data and measured calibration, which aligns with research showing raw “confidence” is often unreliable without calibration and careful elicitation. fileciteturn1file0</w:t>
      </w:r>
      <w:r>
        <w:t xml:space="preserve"> </w:t>
      </w:r>
      <w:hyperlink r:id="rId37">
        <w:r>
          <w:rPr>
            <w:rStyle w:val="Hyperlink"/>
          </w:rPr>
          <w:t xml:space="preserve">[17]</w:t>
        </w:r>
      </w:hyperlink>
    </w:p>
    <w:p>
      <w:pPr>
        <w:pStyle w:val="BodyText"/>
      </w:pPr>
      <w:r>
        <w:t xml:space="preserve">Anti-automation-bias UI is a sophisticated and underused control in many agentic systems; it directly targets the known tendency to rubber-stamp suggestions. fileciteturn1file0</w:t>
      </w:r>
      <w:r>
        <w:t xml:space="preserve"> </w:t>
      </w:r>
      <w:hyperlink r:id="rId32">
        <w:r>
          <w:rPr>
            <w:rStyle w:val="Hyperlink"/>
          </w:rPr>
          <w:t xml:space="preserve">[18]</w:t>
        </w:r>
      </w:hyperlink>
    </w:p>
    <w:bookmarkEnd w:id="40"/>
    <w:bookmarkStart w:id="43" w:name="X07844769cd81b71ac33e5df6c5523ba583443f2"/>
    <w:p>
      <w:pPr>
        <w:pStyle w:val="Heading3"/>
      </w:pPr>
      <w:r>
        <w:t xml:space="preserve">What is still missing for a defensible autonomy story</w:t>
      </w:r>
    </w:p>
    <w:p>
      <w:pPr>
        <w:pStyle w:val="FirstParagraph"/>
      </w:pPr>
      <w:r>
        <w:t xml:space="preserve">Even with the four gates, the autonomy tier needs additional operational “blast radius reducers” to be credibly safe in real-world property operations:</w:t>
      </w:r>
    </w:p>
    <w:p>
      <w:pPr>
        <w:pStyle w:val="BodyText"/>
      </w:pPr>
      <w:r>
        <w:t xml:space="preserve">A robust after-hours escalation path (human or contract) is industry-standard because emergencies do not respect business hours. Incumbents explicitly offer 24/7 contact center coverage and emergency handling. For instance, Buildium</w:t>
      </w:r>
      <w:hyperlink r:id="rId27">
        <w:r>
          <w:rPr>
            <w:rStyle w:val="Hyperlink"/>
          </w:rPr>
          <w:t xml:space="preserve">[19]</w:t>
        </w:r>
      </w:hyperlink>
      <w:r>
        <w:t xml:space="preserve"> </w:t>
      </w:r>
      <w:r>
        <w:t xml:space="preserve">markets a Maintenance Contact Center that answers maintenance calls 24/7/365 and can dispatch preferred contacts during emergencies, and AppFolio markets 24/7 emergency handling inside its Smart Maintenance offering.</w:t>
      </w:r>
      <w:r>
        <w:t xml:space="preserve"> </w:t>
      </w:r>
      <w:hyperlink r:id="rId41">
        <w:r>
          <w:rPr>
            <w:rStyle w:val="Hyperlink"/>
          </w:rPr>
          <w:t xml:space="preserve">[20]</w:t>
        </w:r>
      </w:hyperlink>
    </w:p>
    <w:p>
      <w:pPr>
        <w:pStyle w:val="BodyText"/>
      </w:pPr>
      <w:r>
        <w:t xml:space="preserve">“Autonomy” should be scoped to dispatch initiation, not payment authorization, until long-term audit data exists. Vendor fraud and billing disputes can become the next risk concentration once dispatch is automated; the plan currently emphasizes autonomy largely as maintenance dispatch, but the operational controls around invoicing, approvals, and vendor governance need to be explicit because incumbent offerings bundle vendor networks and outsourced dispatch.</w:t>
      </w:r>
      <w:r>
        <w:t xml:space="preserve"> </w:t>
      </w:r>
      <w:hyperlink r:id="rId42">
        <w:r>
          <w:rPr>
            <w:rStyle w:val="Hyperlink"/>
          </w:rPr>
          <w:t xml:space="preserve">[21]</w:t>
        </w:r>
      </w:hyperlink>
    </w:p>
    <w:p>
      <w:pPr>
        <w:pStyle w:val="BodyText"/>
      </w:pPr>
      <w:r>
        <w:t xml:space="preserve">Incident response and audit readiness should be written as first-class product requirements. NIST’s AI RMF emphasizes documentation and accountability mechanisms; a property ops autonomy system should preserve an auditable chain (message → triage questions → tenant responses → classification decision → dispatch action → outcome).</w:t>
      </w:r>
      <w:r>
        <w:t xml:space="preserve"> </w:t>
      </w:r>
      <w:hyperlink r:id="rId28">
        <w:r>
          <w:rPr>
            <w:rStyle w:val="Hyperlink"/>
          </w:rPr>
          <w:t xml:space="preserve">[15]</w:t>
        </w:r>
      </w:hyperlink>
    </w:p>
    <w:bookmarkEnd w:id="43"/>
    <w:bookmarkEnd w:id="44"/>
    <w:bookmarkStart w:id="50" w:name="X0b92e80125412dff9fa3d6141cbe4dd62df30b3"/>
    <w:p>
      <w:pPr>
        <w:pStyle w:val="Heading2"/>
      </w:pPr>
      <w:r>
        <w:t xml:space="preserve">Market opportunity and competitive landscape</w:t>
      </w:r>
    </w:p>
    <w:bookmarkStart w:id="46" w:name="Xba91887030664bfc6b1b285acae1549126289cb"/>
    <w:p>
      <w:pPr>
        <w:pStyle w:val="Heading3"/>
      </w:pPr>
      <w:r>
        <w:t xml:space="preserve">The segment sizing claim is plausible directionally but needs definitional tightening</w:t>
      </w:r>
    </w:p>
    <w:p>
      <w:pPr>
        <w:pStyle w:val="FirstParagraph"/>
      </w:pPr>
      <w:r>
        <w:t xml:space="preserve">Your plan targets “independent landlords and small property managers operating 5–150 units,” asserting ~17M units in the U.S. for that segment. fileciteturn1file0</w:t>
      </w:r>
    </w:p>
    <w:p>
      <w:pPr>
        <w:pStyle w:val="BodyText"/>
      </w:pPr>
      <w:r>
        <w:t xml:space="preserve">A diligence issue: “5–150” can mean</w:t>
      </w:r>
      <w:r>
        <w:t xml:space="preserve"> </w:t>
      </w:r>
      <w:r>
        <w:rPr>
          <w:b/>
          <w:bCs/>
        </w:rPr>
        <w:t xml:space="preserve">units per property</w:t>
      </w:r>
      <w:r>
        <w:t xml:space="preserve"> </w:t>
      </w:r>
      <w:r>
        <w:t xml:space="preserve">or</w:t>
      </w:r>
      <w:r>
        <w:t xml:space="preserve"> </w:t>
      </w:r>
      <w:r>
        <w:rPr>
          <w:b/>
          <w:bCs/>
        </w:rPr>
        <w:t xml:space="preserve">units per owner/portfolio</w:t>
      </w:r>
      <w:r>
        <w:t xml:space="preserve">, which are not interchangeable. The RHFS provides property-size buckets and shows—at a national level—how units distribute across properties:</w:t>
      </w:r>
    </w:p>
    <w:p>
      <w:pPr>
        <w:pStyle w:val="BodyText"/>
      </w:pPr>
      <w:r>
        <w:t xml:space="preserve">It reports ~49.547M rental units total, with about</w:t>
      </w:r>
      <w:r>
        <w:t xml:space="preserve"> </w:t>
      </w:r>
      <w:r>
        <w:rPr>
          <w:b/>
          <w:bCs/>
        </w:rPr>
        <w:t xml:space="preserve">16.55M units in one-unit properties</w:t>
      </w:r>
      <w:r>
        <w:t xml:space="preserve">, about</w:t>
      </w:r>
      <w:r>
        <w:t xml:space="preserve"> </w:t>
      </w:r>
      <w:r>
        <w:rPr>
          <w:b/>
          <w:bCs/>
        </w:rPr>
        <w:t xml:space="preserve">6.065M units in two-to-four-unit properties</w:t>
      </w:r>
      <w:r>
        <w:t xml:space="preserve">, about</w:t>
      </w:r>
      <w:r>
        <w:t xml:space="preserve"> </w:t>
      </w:r>
      <w:r>
        <w:rPr>
          <w:b/>
          <w:bCs/>
        </w:rPr>
        <w:t xml:space="preserve">5.47M units in five-to-twenty-four-unit properties</w:t>
      </w:r>
      <w:r>
        <w:t xml:space="preserve">, and about</w:t>
      </w:r>
      <w:r>
        <w:t xml:space="preserve"> </w:t>
      </w:r>
      <w:r>
        <w:rPr>
          <w:b/>
          <w:bCs/>
        </w:rPr>
        <w:t xml:space="preserve">2.725M units in twenty-five-to-forty-nine-unit properties</w:t>
      </w:r>
      <w:r>
        <w:t xml:space="preserve">; fifty-plus-unit properties account for about</w:t>
      </w:r>
      <w:r>
        <w:t xml:space="preserve"> </w:t>
      </w:r>
      <w:r>
        <w:rPr>
          <w:b/>
          <w:bCs/>
        </w:rPr>
        <w:t xml:space="preserve">18.737M units</w:t>
      </w:r>
      <w:r>
        <w:t xml:space="preserve"> </w:t>
      </w:r>
      <w:r>
        <w:t xml:space="preserve">(with fifty-plus grouped, so it doesn’t isolate fifty-to-one-fifty).</w:t>
      </w:r>
      <w:r>
        <w:t xml:space="preserve"> </w:t>
      </w:r>
      <w:hyperlink r:id="rId45">
        <w:r>
          <w:rPr>
            <w:rStyle w:val="Hyperlink"/>
          </w:rPr>
          <w:t xml:space="preserve">[22]</w:t>
        </w:r>
      </w:hyperlink>
    </w:p>
    <w:p>
      <w:pPr>
        <w:pStyle w:val="BodyText"/>
      </w:pPr>
      <w:r>
        <w:t xml:space="preserve">So: a “5–49 units per property” slice alone is roughly ~8.2M units, and the “50+” bucket is ~18.7M units, meaning your 17M claim could be plausible depending on where you draw the line inside fifty-plus—</w:t>
      </w:r>
      <w:r>
        <w:rPr>
          <w:i/>
          <w:iCs/>
        </w:rPr>
        <w:t xml:space="preserve">but</w:t>
      </w:r>
      <w:r>
        <w:t xml:space="preserve"> </w:t>
      </w:r>
      <w:r>
        <w:t xml:space="preserve">it is not directly provable from RHFS without an additional split of the fifty-plus category or a separate dataset keyed to portfolio size.</w:t>
      </w:r>
      <w:r>
        <w:t xml:space="preserve"> </w:t>
      </w:r>
      <w:hyperlink r:id="rId45">
        <w:r>
          <w:rPr>
            <w:rStyle w:val="Hyperlink"/>
          </w:rPr>
          <w:t xml:space="preserve">[23]</w:t>
        </w:r>
      </w:hyperlink>
    </w:p>
    <w:p>
      <w:pPr>
        <w:pStyle w:val="BodyText"/>
      </w:pPr>
      <w:r>
        <w:t xml:space="preserve">The VC implication is not “your TAM is wrong”; it’s that you should define, source, and defend the segment count in a way that can survive investor and customer scrutiny.</w:t>
      </w:r>
    </w:p>
    <w:bookmarkEnd w:id="46"/>
    <w:bookmarkStart w:id="48" w:name="Xa381893b7abc5b65fc24ca675837f1f371fc06d"/>
    <w:p>
      <w:pPr>
        <w:pStyle w:val="Heading3"/>
      </w:pPr>
      <w:r>
        <w:t xml:space="preserve">“System of Understanding” versus systems of record</w:t>
      </w:r>
    </w:p>
    <w:p>
      <w:pPr>
        <w:pStyle w:val="FirstParagraph"/>
      </w:pPr>
      <w:r>
        <w:t xml:space="preserve">Your differentiation claim—“System of Understanding” layered on top of “Systems of Record”—is strategically coherent (interpretation + action packaging versus accounting/ledgers/work orders). fileciteturn1file0</w:t>
      </w:r>
    </w:p>
    <w:p>
      <w:pPr>
        <w:pStyle w:val="BodyText"/>
      </w:pPr>
      <w:r>
        <w:t xml:space="preserve">The competitive risk is that systems of record are rapidly becoming systems of action via agents:</w:t>
      </w:r>
    </w:p>
    <w:p>
      <w:pPr>
        <w:pStyle w:val="BodyText"/>
      </w:pPr>
      <w:r>
        <w:t xml:space="preserve">Yardi publicly launched Virtuoso AI agents to automate workflows, describing an agent architecture for property operations.</w:t>
      </w:r>
      <w:r>
        <w:t xml:space="preserve"> </w:t>
      </w:r>
      <w:hyperlink r:id="rId23">
        <w:r>
          <w:rPr>
            <w:rStyle w:val="Hyperlink"/>
          </w:rPr>
          <w:t xml:space="preserve">[24]</w:t>
        </w:r>
      </w:hyperlink>
    </w:p>
    <w:p>
      <w:pPr>
        <w:pStyle w:val="BodyText"/>
      </w:pPr>
      <w:r>
        <w:t xml:space="preserve">AppFolio publicly markets “Maintenance Performer” as an AI coordinator handling intake/triage/dispatch with 24/7 response, and more broadly describes Performer agents in leasing and maintenance.</w:t>
      </w:r>
      <w:r>
        <w:t xml:space="preserve"> </w:t>
      </w:r>
      <w:hyperlink r:id="rId42">
        <w:r>
          <w:rPr>
            <w:rStyle w:val="Hyperlink"/>
          </w:rPr>
          <w:t xml:space="preserve">[25]</w:t>
        </w:r>
      </w:hyperlink>
    </w:p>
    <w:p>
      <w:pPr>
        <w:pStyle w:val="BodyText"/>
      </w:pPr>
      <w:r>
        <w:t xml:space="preserve">Buildium publicly markets “Lumina AI” for drafting communications, summarizing maintenance tasks, and automating workflows.</w:t>
      </w:r>
      <w:r>
        <w:t xml:space="preserve"> </w:t>
      </w:r>
      <w:hyperlink r:id="rId47">
        <w:r>
          <w:rPr>
            <w:rStyle w:val="Hyperlink"/>
          </w:rPr>
          <w:t xml:space="preserve">[26]</w:t>
        </w:r>
      </w:hyperlink>
    </w:p>
    <w:bookmarkEnd w:id="48"/>
    <w:bookmarkStart w:id="49" w:name="X5cc58169b26c7969e69d38bc3c54a1428048a83"/>
    <w:p>
      <w:pPr>
        <w:pStyle w:val="Heading3"/>
      </w:pPr>
      <w:r>
        <w:t xml:space="preserve">Is forensic analysis a durable moat against incumbents?</w:t>
      </w:r>
    </w:p>
    <w:p>
      <w:pPr>
        <w:pStyle w:val="FirstParagraph"/>
      </w:pPr>
      <w:r>
        <w:t xml:space="preserve">As a moat, forensic analysis is</w:t>
      </w:r>
      <w:r>
        <w:t xml:space="preserve"> </w:t>
      </w:r>
      <w:r>
        <w:rPr>
          <w:b/>
          <w:bCs/>
        </w:rPr>
        <w:t xml:space="preserve">not durable by itself</w:t>
      </w:r>
      <w:r>
        <w:t xml:space="preserve">, because:</w:t>
      </w:r>
    </w:p>
    <w:p>
      <w:pPr>
        <w:pStyle w:val="BodyText"/>
      </w:pPr>
      <w:r>
        <w:t xml:space="preserve">Incumbents already ship document verification primitives (e.g., AppFolio’s document-level and field-level checks).</w:t>
      </w:r>
      <w:r>
        <w:t xml:space="preserve"> </w:t>
      </w:r>
      <w:hyperlink r:id="rId25">
        <w:r>
          <w:rPr>
            <w:rStyle w:val="Hyperlink"/>
          </w:rPr>
          <w:t xml:space="preserve">[4]</w:t>
        </w:r>
      </w:hyperlink>
    </w:p>
    <w:p>
      <w:pPr>
        <w:pStyle w:val="BodyText"/>
      </w:pPr>
      <w:r>
        <w:t xml:space="preserve">Specialists and large platforms market integrated fraud detection and verification that can be bundled into existing leasing stacks (e.g., RealPage prequalification/fraud detection messaging).</w:t>
      </w:r>
      <w:r>
        <w:t xml:space="preserve"> </w:t>
      </w:r>
      <w:hyperlink r:id="rId29">
        <w:r>
          <w:rPr>
            <w:rStyle w:val="Hyperlink"/>
          </w:rPr>
          <w:t xml:space="preserve">[27]</w:t>
        </w:r>
      </w:hyperlink>
    </w:p>
    <w:p>
      <w:pPr>
        <w:pStyle w:val="BodyText"/>
      </w:pPr>
      <w:r>
        <w:t xml:space="preserve">What</w:t>
      </w:r>
      <w:r>
        <w:t xml:space="preserve"> </w:t>
      </w:r>
      <w:r>
        <w:rPr>
          <w:i/>
          <w:iCs/>
        </w:rPr>
        <w:t xml:space="preserve">can</w:t>
      </w:r>
      <w:r>
        <w:t xml:space="preserve"> </w:t>
      </w:r>
      <w:r>
        <w:t xml:space="preserve">become durable is the combination of:</w:t>
      </w:r>
    </w:p>
    <w:p>
      <w:pPr>
        <w:pStyle w:val="BodyText"/>
      </w:pPr>
      <w:r>
        <w:t xml:space="preserve">Evidence-grade audit logs as a trust and compliance differentiator (your plan explicitly proposes Document Integrity Reports and anomaly logs). fileciteturn1file0</w:t>
      </w:r>
    </w:p>
    <w:p>
      <w:pPr>
        <w:pStyle w:val="BodyText"/>
      </w:pPr>
      <w:r>
        <w:t xml:space="preserve">Compounding workflow data once Tony becomes the daily “ops inbox,” enabling empirically calibrated triage and measurable process improvements over time. fileciteturn1file0</w:t>
      </w:r>
    </w:p>
    <w:p>
      <w:pPr>
        <w:pStyle w:val="BodyText"/>
      </w:pPr>
      <w:r>
        <w:t xml:space="preserve">But those are execution moats—not “model moats.”</w:t>
      </w:r>
    </w:p>
    <w:bookmarkEnd w:id="49"/>
    <w:bookmarkEnd w:id="50"/>
    <w:bookmarkStart w:id="58" w:name="pricing-and-unit-economics-realism"/>
    <w:p>
      <w:pPr>
        <w:pStyle w:val="Heading2"/>
      </w:pPr>
      <w:r>
        <w:t xml:space="preserve">Pricing and unit economics realism</w:t>
      </w:r>
    </w:p>
    <w:bookmarkStart w:id="55" w:name="Xa06b117eb5429e66554302069e74c6d2ef2df42"/>
    <w:p>
      <w:pPr>
        <w:pStyle w:val="Heading3"/>
      </w:pPr>
      <w:r>
        <w:t xml:space="preserve">How your pricing compares to what small operators see in-market</w:t>
      </w:r>
    </w:p>
    <w:p>
      <w:pPr>
        <w:pStyle w:val="FirstParagraph"/>
      </w:pPr>
      <w:r>
        <w:t xml:space="preserve">Your plan’s v4.2 pricing outlines a starter tier around $5–$7 per unit per month with minimum monthly floors, and an operator tier around $8–$10 per unit per month, plus an application intake fee ($15–$35) “where permitted,” with jurisdiction-aware alternatives (renter-paid, landlord-paid, bundled). fileciteturn1file0</w:t>
      </w:r>
    </w:p>
    <w:p>
      <w:pPr>
        <w:pStyle w:val="BodyText"/>
      </w:pPr>
      <w:r>
        <w:t xml:space="preserve">For context, small-landlord tools and entry PMS offerings often sit materially lower on a per-unit basis (with minimums or feature gating), though there are exceptions:</w:t>
      </w:r>
    </w:p>
    <w:p>
      <w:pPr>
        <w:pStyle w:val="BodyText"/>
      </w:pPr>
      <w:r>
        <w:t xml:space="preserve">Yardi Breeze is commonly advertised around ~$1–$2 per unit per month with monthly minimums, depending on edition and bundle.</w:t>
      </w:r>
      <w:r>
        <w:t xml:space="preserve"> </w:t>
      </w:r>
      <w:hyperlink r:id="rId51">
        <w:r>
          <w:rPr>
            <w:rStyle w:val="Hyperlink"/>
          </w:rPr>
          <w:t xml:space="preserve">[28]</w:t>
        </w:r>
      </w:hyperlink>
    </w:p>
    <w:p>
      <w:pPr>
        <w:pStyle w:val="BodyText"/>
      </w:pPr>
      <w:r>
        <w:t xml:space="preserve">Buildium publicly advertises tiered pricing with entry plans that can cover portfolios up to ~150 units at a flat monthly price point (unit-tiered), positioning it as accessible for smaller portfolios.</w:t>
      </w:r>
      <w:r>
        <w:t xml:space="preserve"> </w:t>
      </w:r>
      <w:hyperlink r:id="rId52">
        <w:r>
          <w:rPr>
            <w:rStyle w:val="Hyperlink"/>
          </w:rPr>
          <w:t xml:space="preserve">[29]</w:t>
        </w:r>
      </w:hyperlink>
    </w:p>
    <w:p>
      <w:pPr>
        <w:pStyle w:val="BodyText"/>
      </w:pPr>
      <w:r>
        <w:t xml:space="preserve">Avail’s paid tier is advertised at about $9 per unit per month, which is close to your operator tier range, indicating that a higher per-unit ARPU is feasible when bundled with meaningful workflow value.</w:t>
      </w:r>
      <w:r>
        <w:t xml:space="preserve"> </w:t>
      </w:r>
      <w:hyperlink r:id="rId53">
        <w:r>
          <w:rPr>
            <w:rStyle w:val="Hyperlink"/>
          </w:rPr>
          <w:t xml:space="preserve">[30]</w:t>
        </w:r>
      </w:hyperlink>
    </w:p>
    <w:p>
      <w:pPr>
        <w:pStyle w:val="BodyText"/>
      </w:pPr>
      <w:r>
        <w:t xml:space="preserve">TenantCloud’s own educational content frames many per-unit pricing models for PMS in a broad “$1–$5 per unit per month” range (with caveats), which reflects the price sensitivity of the segment; this increases the burden on you to demonstrate ROI rather than feature parity.</w:t>
      </w:r>
      <w:r>
        <w:t xml:space="preserve"> </w:t>
      </w:r>
      <w:hyperlink r:id="rId54">
        <w:r>
          <w:rPr>
            <w:rStyle w:val="Hyperlink"/>
          </w:rPr>
          <w:t xml:space="preserve">[31]</w:t>
        </w:r>
      </w:hyperlink>
    </w:p>
    <w:p>
      <w:pPr>
        <w:pStyle w:val="BodyText"/>
      </w:pPr>
      <w:r>
        <w:rPr>
          <w:b/>
          <w:bCs/>
        </w:rPr>
        <w:t xml:space="preserve">ARPU realism verdict:</w:t>
      </w:r>
      <w:r>
        <w:t xml:space="preserve"> </w:t>
      </w:r>
      <w:r>
        <w:t xml:space="preserve">Your $8–$10 operator tier is plausible for the upper end of 5–150 units if you truly replace labor and reduce risk, but you should expect price resistance at the 5–20 unit end unless you deliver an immediate “money saved / hours saved” story that is obvious in the first 30 days.</w:t>
      </w:r>
      <w:r>
        <w:t xml:space="preserve"> </w:t>
      </w:r>
      <w:hyperlink r:id="rId53">
        <w:r>
          <w:rPr>
            <w:rStyle w:val="Hyperlink"/>
          </w:rPr>
          <w:t xml:space="preserve">[32]</w:t>
        </w:r>
      </w:hyperlink>
    </w:p>
    <w:bookmarkEnd w:id="55"/>
    <w:bookmarkStart w:id="57" w:name="Xa379cc6a3bef3769ef37f08c07b085bcce13e82"/>
    <w:p>
      <w:pPr>
        <w:pStyle w:val="Heading3"/>
      </w:pPr>
      <w:r>
        <w:t xml:space="preserve">Application intake fee economics and constraints</w:t>
      </w:r>
    </w:p>
    <w:p>
      <w:pPr>
        <w:pStyle w:val="FirstParagraph"/>
      </w:pPr>
      <w:r>
        <w:t xml:space="preserve">Your transaction pricing (per application processed) has a natural competitive anchor: Zillow’s renter-paid $35 application fee model.</w:t>
      </w:r>
      <w:r>
        <w:t xml:space="preserve"> </w:t>
      </w:r>
      <w:hyperlink r:id="rId27">
        <w:r>
          <w:rPr>
            <w:rStyle w:val="Hyperlink"/>
          </w:rPr>
          <w:t xml:space="preserve">[33]</w:t>
        </w:r>
      </w:hyperlink>
    </w:p>
    <w:p>
      <w:pPr>
        <w:pStyle w:val="BodyText"/>
      </w:pPr>
      <w:r>
        <w:t xml:space="preserve">But application-fee economics are</w:t>
      </w:r>
      <w:r>
        <w:t xml:space="preserve"> </w:t>
      </w:r>
      <w:r>
        <w:rPr>
          <w:b/>
          <w:bCs/>
        </w:rPr>
        <w:t xml:space="preserve">jurisdiction-fragile</w:t>
      </w:r>
      <w:r>
        <w:t xml:space="preserve">. For example, the New York State Office of the Attorney General</w:t>
      </w:r>
      <w:hyperlink r:id="rId42">
        <w:r>
          <w:rPr>
            <w:rStyle w:val="Hyperlink"/>
          </w:rPr>
          <w:t xml:space="preserve">[34]</w:t>
        </w:r>
      </w:hyperlink>
      <w:r>
        <w:t xml:space="preserve"> </w:t>
      </w:r>
      <w:r>
        <w:t xml:space="preserve">guidance states that before signing a lease, the most a landlord can charge is $20 for a credit/background check, and it also describes required disclosures (copy of report and invoice) to charge that fee—meaning a $35 landlord-charged intake fee could be illegal or require restructuring in that jurisdiction.</w:t>
      </w:r>
      <w:r>
        <w:t xml:space="preserve"> </w:t>
      </w:r>
      <w:hyperlink r:id="rId56">
        <w:r>
          <w:rPr>
            <w:rStyle w:val="Hyperlink"/>
          </w:rPr>
          <w:t xml:space="preserve">[35]</w:t>
        </w:r>
      </w:hyperlink>
    </w:p>
    <w:p>
      <w:pPr>
        <w:pStyle w:val="BodyText"/>
      </w:pPr>
      <w:r>
        <w:t xml:space="preserve">Your plan explicitly acknowledges jurisdiction variability and proposes a “where permitted” structure with renter-paid or bundled alternatives, which is operationally necessary if transaction revenue is part of the model. fileciteturn1file0</w:t>
      </w:r>
    </w:p>
    <w:bookmarkEnd w:id="57"/>
    <w:bookmarkEnd w:id="58"/>
    <w:bookmarkStart w:id="64" w:name="Xf948e2d9070a741409621d697acee78f43a242b"/>
    <w:p>
      <w:pPr>
        <w:pStyle w:val="Heading2"/>
      </w:pPr>
      <w:r>
        <w:t xml:space="preserve">Regulatory positioning and compliance posture</w:t>
      </w:r>
    </w:p>
    <w:bookmarkStart w:id="60" w:name="X99509d3125ad7671cc5c1f33e94f0dcfe388c39"/>
    <w:p>
      <w:pPr>
        <w:pStyle w:val="Heading3"/>
      </w:pPr>
      <w:r>
        <w:t xml:space="preserve">“No scoring, no recommendations” reduces FHA risk but does not eliminate it</w:t>
      </w:r>
    </w:p>
    <w:p>
      <w:pPr>
        <w:pStyle w:val="FirstParagraph"/>
      </w:pPr>
      <w:r>
        <w:t xml:space="preserve">Your plan’s core compliance positioning is that Laura is a stateless analytical tool that produces document-integrity reports without issuing approvals/denials or tenant scores, explicitly framed as structural mitigation for disparate impact and screening liability. fileciteturn1file0</w:t>
      </w:r>
    </w:p>
    <w:p>
      <w:pPr>
        <w:pStyle w:val="BodyText"/>
      </w:pPr>
      <w:r>
        <w:t xml:space="preserve">This is directionally aligned with the thrust of HUD’s Fair Housing screening guidance: algorithmic and AI-driven screening can create Fair Housing Act exposure, and opacity plus discriminatory effects can produce liability risks for housing providers and screening ecosystems.</w:t>
      </w:r>
      <w:r>
        <w:t xml:space="preserve"> </w:t>
      </w:r>
      <w:hyperlink r:id="rId59">
        <w:r>
          <w:rPr>
            <w:rStyle w:val="Hyperlink"/>
          </w:rPr>
          <w:t xml:space="preserve">[36]</w:t>
        </w:r>
      </w:hyperlink>
    </w:p>
    <w:p>
      <w:pPr>
        <w:pStyle w:val="BodyText"/>
      </w:pPr>
      <w:r>
        <w:t xml:space="preserve">However, a red-team critique is that</w:t>
      </w:r>
      <w:r>
        <w:t xml:space="preserve"> </w:t>
      </w:r>
      <w:r>
        <w:rPr>
          <w:b/>
          <w:bCs/>
        </w:rPr>
        <w:t xml:space="preserve">outputs can function as screening even when you don’t call them “scores.”</w:t>
      </w:r>
      <w:r>
        <w:t xml:space="preserve"> </w:t>
      </w:r>
      <w:r>
        <w:t xml:space="preserve">If landlords use “integrity flags” as a de facto accept/deny mechanism, then (a) disparate impact arguments can still arise (especially if flags correlate with protected class proxies like nonstandard income documentation), and (b) you may draw attention from regulators regardless of “stateless tool” framing.</w:t>
      </w:r>
      <w:r>
        <w:t xml:space="preserve"> </w:t>
      </w:r>
      <w:hyperlink r:id="rId59">
        <w:r>
          <w:rPr>
            <w:rStyle w:val="Hyperlink"/>
          </w:rPr>
          <w:t xml:space="preserve">[37]</w:t>
        </w:r>
      </w:hyperlink>
    </w:p>
    <w:p>
      <w:pPr>
        <w:pStyle w:val="BodyText"/>
      </w:pPr>
      <w:r>
        <w:t xml:space="preserve">Your plan recognizes this risk and calls for disparate impact monitoring against proxy variables as a product requirement, which is an unusually mature posture for an early-stage PropTech company. fileciteturn1file0</w:t>
      </w:r>
    </w:p>
    <w:bookmarkEnd w:id="60"/>
    <w:bookmarkStart w:id="63" w:name="X48ca9ea6cb74c70044ca426b242ff324cee9982"/>
    <w:p>
      <w:pPr>
        <w:pStyle w:val="Heading3"/>
      </w:pPr>
      <w:r>
        <w:t xml:space="preserve">FCRA risk is a first-order diligence item, not a footnote</w:t>
      </w:r>
    </w:p>
    <w:p>
      <w:pPr>
        <w:pStyle w:val="FirstParagraph"/>
      </w:pPr>
      <w:r>
        <w:t xml:space="preserve">Even if you avoid scoring, you can still end up inside Fair Credit Reporting Act scope if your product is used to make housing decisions based on information that qualifies as a “consumer report,” triggering permissible purpose, dispute handling, and adverse action notice expectations.</w:t>
      </w:r>
    </w:p>
    <w:p>
      <w:pPr>
        <w:pStyle w:val="BodyText"/>
      </w:pPr>
      <w:r>
        <w:t xml:space="preserve">The Federal Trade Commission</w:t>
      </w:r>
      <w:hyperlink r:id="rId36">
        <w:r>
          <w:rPr>
            <w:rStyle w:val="Hyperlink"/>
          </w:rPr>
          <w:t xml:space="preserve">[38]</w:t>
        </w:r>
      </w:hyperlink>
      <w:r>
        <w:t xml:space="preserve"> </w:t>
      </w:r>
      <w:r>
        <w:t xml:space="preserve">explicitly states that if a landlord takes adverse action based on information in a consumer report, the applicant must receive an adverse action notice, and it gives examples where third-party verification reports can qualify.</w:t>
      </w:r>
      <w:r>
        <w:t xml:space="preserve"> </w:t>
      </w:r>
      <w:hyperlink r:id="rId61">
        <w:r>
          <w:rPr>
            <w:rStyle w:val="Hyperlink"/>
          </w:rPr>
          <w:t xml:space="preserve">[39]</w:t>
        </w:r>
      </w:hyperlink>
    </w:p>
    <w:p>
      <w:pPr>
        <w:pStyle w:val="BodyText"/>
      </w:pPr>
      <w:r>
        <w:t xml:space="preserve">Your plan’s proposed mitigation—obtaining a PropTech-specialized legal opinion on CRA classification as a pre-launch gate, and building dispute/adverse-action support workflows if obligations apply—is the right sequencing for reducing existential regulatory risk. fileciteturn1file0</w:t>
      </w:r>
      <w:r>
        <w:t xml:space="preserve"> </w:t>
      </w:r>
      <w:hyperlink r:id="rId62">
        <w:r>
          <w:rPr>
            <w:rStyle w:val="Hyperlink"/>
          </w:rPr>
          <w:t xml:space="preserve">[40]</w:t>
        </w:r>
      </w:hyperlink>
    </w:p>
    <w:bookmarkEnd w:id="63"/>
    <w:bookmarkEnd w:id="64"/>
    <w:bookmarkStart w:id="67" w:name="red-team-summary-of-the-plan"/>
    <w:p>
      <w:pPr>
        <w:pStyle w:val="Heading2"/>
      </w:pPr>
      <w:r>
        <w:t xml:space="preserve">Red-team summary of the plan</w:t>
      </w:r>
    </w:p>
    <w:bookmarkStart w:id="65" w:name="the-three-biggest-risks"/>
    <w:p>
      <w:pPr>
        <w:pStyle w:val="Heading3"/>
      </w:pPr>
      <w:r>
        <w:t xml:space="preserve">The three biggest risks</w:t>
      </w:r>
    </w:p>
    <w:p>
      <w:pPr>
        <w:pStyle w:val="FirstParagraph"/>
      </w:pPr>
      <w:r>
        <w:rPr>
          <w:b/>
          <w:bCs/>
        </w:rPr>
        <w:t xml:space="preserve">Regulatory classification and product-liability risk converge at the leasing decision boundary.</w:t>
      </w:r>
      <w:r>
        <w:t xml:space="preserve"> </w:t>
      </w:r>
      <w:r>
        <w:t xml:space="preserve">Even without explicit scoring, an “integrity report” can be treated as decisive in practice; FHA disparate impact concerns and FCRA CRA/consumer-report obligations become acute if outputs materially influence denials or worse terms.</w:t>
      </w:r>
      <w:r>
        <w:t xml:space="preserve"> </w:t>
      </w:r>
      <w:hyperlink r:id="rId59">
        <w:r>
          <w:rPr>
            <w:rStyle w:val="Hyperlink"/>
          </w:rPr>
          <w:t xml:space="preserve">[41]</w:t>
        </w:r>
      </w:hyperlink>
      <w:r>
        <w:t xml:space="preserve"> </w:t>
      </w:r>
      <w:r>
        <w:t xml:space="preserve">fileciteturn1file0</w:t>
      </w:r>
    </w:p>
    <w:p>
      <w:pPr>
        <w:pStyle w:val="BodyText"/>
      </w:pPr>
      <w:r>
        <w:rPr>
          <w:b/>
          <w:bCs/>
        </w:rPr>
        <w:t xml:space="preserve">Autonomy is the catastrophic-risk attractor—even with good gates.</w:t>
      </w:r>
      <w:r>
        <w:t xml:space="preserve"> </w:t>
      </w:r>
      <w:r>
        <w:t xml:space="preserve">Your v4.2 safety architecture is strongly designed, but real-world property management norms still rely on 24/7 emergency coverage and well-defined escalation paths; incumbents emphasize emergency handling, contact centers, and dispatch protocols, which implies autonomy must be introduced with operational backstops, not only technical classification gates.</w:t>
      </w:r>
      <w:r>
        <w:t xml:space="preserve"> </w:t>
      </w:r>
      <w:hyperlink r:id="rId41">
        <w:r>
          <w:rPr>
            <w:rStyle w:val="Hyperlink"/>
          </w:rPr>
          <w:t xml:space="preserve">[42]</w:t>
        </w:r>
      </w:hyperlink>
      <w:r>
        <w:t xml:space="preserve"> </w:t>
      </w:r>
      <w:r>
        <w:t xml:space="preserve">fileciteturn1file0</w:t>
      </w:r>
    </w:p>
    <w:p>
      <w:pPr>
        <w:pStyle w:val="BodyText"/>
      </w:pPr>
      <w:r>
        <w:rPr>
          <w:b/>
          <w:bCs/>
        </w:rPr>
        <w:t xml:space="preserve">Differentiation pressure from incumbents and specialists will compress your “wedge” unless you embed fast.</w:t>
      </w:r>
      <w:r>
        <w:t xml:space="preserve"> </w:t>
      </w:r>
      <w:r>
        <w:t xml:space="preserve">Document verification, fraud detection, and agentic maintenance triage are already being productized by major platforms and enterprise vendors; the long-term win condition is therefore distribution + workflow embed + auditability, not feature novelty.</w:t>
      </w:r>
      <w:r>
        <w:t xml:space="preserve"> </w:t>
      </w:r>
      <w:hyperlink r:id="rId25">
        <w:r>
          <w:rPr>
            <w:rStyle w:val="Hyperlink"/>
          </w:rPr>
          <w:t xml:space="preserve">[43]</w:t>
        </w:r>
      </w:hyperlink>
    </w:p>
    <w:bookmarkEnd w:id="65"/>
    <w:bookmarkStart w:id="66" w:name="Xc9458849bf128255446083d5b1cbd83b4343d3f"/>
    <w:p>
      <w:pPr>
        <w:pStyle w:val="Heading3"/>
      </w:pPr>
      <w:r>
        <w:t xml:space="preserve">The three strongest reasons this could win in the current PropTech landscape</w:t>
      </w:r>
    </w:p>
    <w:p>
      <w:pPr>
        <w:pStyle w:val="FirstParagraph"/>
      </w:pPr>
      <w:r>
        <w:rPr>
          <w:b/>
          <w:bCs/>
        </w:rPr>
        <w:t xml:space="preserve">The wedge targets a real, measurable trust failure with a strong ROI narrative.</w:t>
      </w:r>
      <w:r>
        <w:t xml:space="preserve"> </w:t>
      </w:r>
      <w:r>
        <w:t xml:space="preserve">Fraud prevalence evidence in industry reporting supports the idea that landlords have a growing need for verification, and a single avoided fraud/eviction event can justify premium spend—especially for operators who already feel “PDF-based trust” is broken.</w:t>
      </w:r>
      <w:r>
        <w:t xml:space="preserve"> </w:t>
      </w:r>
      <w:hyperlink r:id="rId22">
        <w:r>
          <w:rPr>
            <w:rStyle w:val="Hyperlink"/>
          </w:rPr>
          <w:t xml:space="preserve">[44]</w:t>
        </w:r>
      </w:hyperlink>
      <w:r>
        <w:t xml:space="preserve"> </w:t>
      </w:r>
      <w:r>
        <w:t xml:space="preserve">fileciteturn1file0</w:t>
      </w:r>
    </w:p>
    <w:p>
      <w:pPr>
        <w:pStyle w:val="BodyText"/>
      </w:pPr>
      <w:r>
        <w:rPr>
          <w:b/>
          <w:bCs/>
        </w:rPr>
        <w:t xml:space="preserve">The rollout sequencing is unusually disciplined for an agentic workflow product.</w:t>
      </w:r>
      <w:r>
        <w:t xml:space="preserve"> </w:t>
      </w:r>
      <w:r>
        <w:t xml:space="preserve">Your explicit insistence on empirical calibration as a hard gate, abstention as a success state, and UI patterns that resist rubber-stamping are aligned with recognized AI risk management principles and with the known phenomenon of automation bias.</w:t>
      </w:r>
      <w:r>
        <w:t xml:space="preserve"> </w:t>
      </w:r>
      <w:hyperlink r:id="rId28">
        <w:r>
          <w:rPr>
            <w:rStyle w:val="Hyperlink"/>
          </w:rPr>
          <w:t xml:space="preserve">[45]</w:t>
        </w:r>
      </w:hyperlink>
      <w:r>
        <w:t xml:space="preserve"> </w:t>
      </w:r>
      <w:r>
        <w:t xml:space="preserve">fileciteturn1file0</w:t>
      </w:r>
    </w:p>
    <w:p>
      <w:pPr>
        <w:pStyle w:val="BodyText"/>
      </w:pPr>
      <w:r>
        <w:rPr>
          <w:b/>
          <w:bCs/>
        </w:rPr>
        <w:t xml:space="preserve">Auditability and compliance-forward design can become a differentiator as scrutiny rises.</w:t>
      </w:r>
      <w:r>
        <w:t xml:space="preserve"> </w:t>
      </w:r>
      <w:r>
        <w:t xml:space="preserve">Your “human decides; machine documents analysis” stance is well-positioned for a regulatory environment increasingly focused on transparency, accountability, and the risks of opaque automated housing decisions—especially relative to tools that explicitly identify “high- and low-risk applicants.”</w:t>
      </w:r>
      <w:r>
        <w:t xml:space="preserve"> </w:t>
      </w:r>
      <w:hyperlink r:id="rId59">
        <w:r>
          <w:rPr>
            <w:rStyle w:val="Hyperlink"/>
          </w:rPr>
          <w:t xml:space="preserve">[46]</w:t>
        </w:r>
      </w:hyperlink>
      <w:r>
        <w:t xml:space="preserve"> </w:t>
      </w:r>
      <w:r>
        <w:t xml:space="preserve">fileciteturn1file0</w:t>
      </w:r>
    </w:p>
    <w:bookmarkEnd w:id="66"/>
    <w:bookmarkEnd w:id="67"/>
    <w:bookmarkEnd w:id="68"/>
    <w:bookmarkEnd w:id="6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r>
        <w:t xml:space="preserve">HUD and Census Bureau Release Findings of 2021 Rental ...</w:t>
      </w:r>
    </w:p>
    <w:p>
      <w:pPr>
        <w:pStyle w:val="BodyText"/>
      </w:pPr>
      <w:hyperlink r:id="rId21">
        <w:r>
          <w:rPr>
            <w:rStyle w:val="Hyperlink"/>
          </w:rPr>
          <w:t xml:space="preserve">https://archives.hud.gov/news/2022/pr22-242.cfm?utm_source=chatgpt.com</w:t>
        </w:r>
      </w:hyperlink>
    </w:p>
    <w:p>
      <w:pPr>
        <w:pStyle w:val="BodyText"/>
      </w:pPr>
      <w:hyperlink r:id="rId22">
        <w:r>
          <w:rPr>
            <w:rStyle w:val="Hyperlink"/>
          </w:rPr>
          <w:t xml:space="preserve">[2]</w:t>
        </w:r>
      </w:hyperlink>
      <w:r>
        <w:t xml:space="preserve"> </w:t>
      </w:r>
      <w:hyperlink r:id="rId22">
        <w:r>
          <w:rPr>
            <w:rStyle w:val="Hyperlink"/>
          </w:rPr>
          <w:t xml:space="preserve">[44]</w:t>
        </w:r>
      </w:hyperlink>
      <w:r>
        <w:t xml:space="preserve"> </w:t>
      </w:r>
      <w:r>
        <w:t xml:space="preserve">Snappt Report: 6.4% of Rental Applications Were ...</w:t>
      </w:r>
    </w:p>
    <w:p>
      <w:pPr>
        <w:pStyle w:val="BodyText"/>
      </w:pPr>
      <w:hyperlink r:id="rId22">
        <w:r>
          <w:rPr>
            <w:rStyle w:val="Hyperlink"/>
          </w:rPr>
          <w:t xml:space="preserve">https://www.multifamilyexecutive.com/technology/snappt-report-6-4-of-rental-applications-were-fraudulent-in-2024_o?utm_source=chatgpt.com</w:t>
        </w:r>
      </w:hyperlink>
    </w:p>
    <w:p>
      <w:pPr>
        <w:pStyle w:val="BodyText"/>
      </w:pPr>
      <w:hyperlink r:id="rId23">
        <w:r>
          <w:rPr>
            <w:rStyle w:val="Hyperlink"/>
          </w:rPr>
          <w:t xml:space="preserve">[3]</w:t>
        </w:r>
      </w:hyperlink>
      <w:r>
        <w:t xml:space="preserve"> </w:t>
      </w:r>
      <w:hyperlink r:id="rId23">
        <w:r>
          <w:rPr>
            <w:rStyle w:val="Hyperlink"/>
          </w:rPr>
          <w:t xml:space="preserve">[24]</w:t>
        </w:r>
      </w:hyperlink>
      <w:r>
        <w:t xml:space="preserve"> </w:t>
      </w:r>
      <w:r>
        <w:t xml:space="preserve">Virtuoso AI Agents to deploy AI-powered teams</w:t>
      </w:r>
    </w:p>
    <w:p>
      <w:pPr>
        <w:pStyle w:val="BodyText"/>
      </w:pPr>
      <w:hyperlink r:id="rId23">
        <w:r>
          <w:rPr>
            <w:rStyle w:val="Hyperlink"/>
          </w:rPr>
          <w:t xml:space="preserve">https://www.yardi.com/news/press-releases/yardi-launches-virtuoso-ai-agents-to-deploy-ai-powered-workflows/?utm_source=chatgpt.com</w:t>
        </w:r>
      </w:hyperlink>
    </w:p>
    <w:p>
      <w:pPr>
        <w:pStyle w:val="BodyText"/>
      </w:pPr>
      <w:hyperlink r:id="rId25">
        <w:r>
          <w:rPr>
            <w:rStyle w:val="Hyperlink"/>
          </w:rPr>
          <w:t xml:space="preserve">[4]</w:t>
        </w:r>
      </w:hyperlink>
      <w:r>
        <w:t xml:space="preserve"> </w:t>
      </w:r>
      <w:hyperlink r:id="rId25">
        <w:r>
          <w:rPr>
            <w:rStyle w:val="Hyperlink"/>
          </w:rPr>
          <w:t xml:space="preserve">[43]</w:t>
        </w:r>
      </w:hyperlink>
      <w:r>
        <w:t xml:space="preserve"> </w:t>
      </w:r>
      <w:r>
        <w:t xml:space="preserve">What's New in AppFolio: Winter 2024</w:t>
      </w:r>
    </w:p>
    <w:p>
      <w:pPr>
        <w:pStyle w:val="BodyText"/>
      </w:pPr>
      <w:hyperlink r:id="rId25">
        <w:r>
          <w:rPr>
            <w:rStyle w:val="Hyperlink"/>
          </w:rPr>
          <w:t xml:space="preserve">https://www.appfolio.com/articles/2024-q4-product-update?utm_source=chatgpt.com</w:t>
        </w:r>
      </w:hyperlink>
    </w:p>
    <w:p>
      <w:pPr>
        <w:pStyle w:val="BodyText"/>
      </w:pPr>
      <w:hyperlink r:id="rId26">
        <w:r>
          <w:rPr>
            <w:rStyle w:val="Hyperlink"/>
          </w:rPr>
          <w:t xml:space="preserve">[5]</w:t>
        </w:r>
      </w:hyperlink>
      <w:r>
        <w:t xml:space="preserve"> </w:t>
      </w:r>
      <w:r>
        <w:t xml:space="preserve">Snappt: Fraud Detection &amp; Income Verification Software</w:t>
      </w:r>
    </w:p>
    <w:p>
      <w:pPr>
        <w:pStyle w:val="BodyText"/>
      </w:pPr>
      <w:hyperlink r:id="rId26">
        <w:r>
          <w:rPr>
            <w:rStyle w:val="Hyperlink"/>
          </w:rPr>
          <w:t xml:space="preserve">https://snappt.com/?utm_source=chatgpt.com</w:t>
        </w:r>
      </w:hyperlink>
    </w:p>
    <w:p>
      <w:pPr>
        <w:pStyle w:val="BodyText"/>
      </w:pPr>
      <w:hyperlink r:id="rId27">
        <w:r>
          <w:rPr>
            <w:rStyle w:val="Hyperlink"/>
          </w:rPr>
          <w:t xml:space="preserve">[6]</w:t>
        </w:r>
      </w:hyperlink>
      <w:r>
        <w:t xml:space="preserve"> </w:t>
      </w:r>
      <w:hyperlink r:id="rId27">
        <w:r>
          <w:rPr>
            <w:rStyle w:val="Hyperlink"/>
          </w:rPr>
          <w:t xml:space="preserve">[19]</w:t>
        </w:r>
      </w:hyperlink>
      <w:r>
        <w:t xml:space="preserve"> </w:t>
      </w:r>
      <w:hyperlink r:id="rId27">
        <w:r>
          <w:rPr>
            <w:rStyle w:val="Hyperlink"/>
          </w:rPr>
          <w:t xml:space="preserve">[33]</w:t>
        </w:r>
      </w:hyperlink>
      <w:r>
        <w:t xml:space="preserve"> </w:t>
      </w:r>
      <w:r>
        <w:t xml:space="preserve">Online Rental Applications FAQs</w:t>
      </w:r>
    </w:p>
    <w:p>
      <w:pPr>
        <w:pStyle w:val="BodyText"/>
      </w:pPr>
      <w:hyperlink r:id="rId27">
        <w:r>
          <w:rPr>
            <w:rStyle w:val="Hyperlink"/>
          </w:rPr>
          <w:t xml:space="preserve">https://www.zillow.com/rental-manager/rental-applications-faq/?utm_source=chatgpt.com</w:t>
        </w:r>
      </w:hyperlink>
    </w:p>
    <w:p>
      <w:pPr>
        <w:pStyle w:val="BodyText"/>
      </w:pPr>
      <w:hyperlink r:id="rId28">
        <w:r>
          <w:rPr>
            <w:rStyle w:val="Hyperlink"/>
          </w:rPr>
          <w:t xml:space="preserve">[7]</w:t>
        </w:r>
      </w:hyperlink>
      <w:r>
        <w:t xml:space="preserve"> </w:t>
      </w:r>
      <w:hyperlink r:id="rId28">
        <w:r>
          <w:rPr>
            <w:rStyle w:val="Hyperlink"/>
          </w:rPr>
          <w:t xml:space="preserve">[15]</w:t>
        </w:r>
      </w:hyperlink>
      <w:r>
        <w:t xml:space="preserve"> </w:t>
      </w:r>
      <w:hyperlink r:id="rId28">
        <w:r>
          <w:rPr>
            <w:rStyle w:val="Hyperlink"/>
          </w:rPr>
          <w:t xml:space="preserve">[45]</w:t>
        </w:r>
      </w:hyperlink>
      <w:r>
        <w:t xml:space="preserve"> </w:t>
      </w:r>
      <w:r>
        <w:t xml:space="preserve">Artificial Intelligence Risk Management Framework</w:t>
      </w:r>
    </w:p>
    <w:p>
      <w:pPr>
        <w:pStyle w:val="BodyText"/>
      </w:pPr>
      <w:hyperlink r:id="rId28">
        <w:r>
          <w:rPr>
            <w:rStyle w:val="Hyperlink"/>
          </w:rPr>
          <w:t xml:space="preserve">https://nvlpubs.nist.gov/nistpubs/ai/NIST.AI.600-1.pdf?utm_source=chatgpt.com</w:t>
        </w:r>
      </w:hyperlink>
    </w:p>
    <w:p>
      <w:pPr>
        <w:pStyle w:val="BodyText"/>
      </w:pPr>
      <w:hyperlink r:id="rId29">
        <w:r>
          <w:rPr>
            <w:rStyle w:val="Hyperlink"/>
          </w:rPr>
          <w:t xml:space="preserve">[8]</w:t>
        </w:r>
      </w:hyperlink>
      <w:r>
        <w:t xml:space="preserve"> </w:t>
      </w:r>
      <w:hyperlink r:id="rId29">
        <w:r>
          <w:rPr>
            <w:rStyle w:val="Hyperlink"/>
          </w:rPr>
          <w:t xml:space="preserve">[27]</w:t>
        </w:r>
      </w:hyperlink>
      <w:r>
        <w:t xml:space="preserve"> </w:t>
      </w:r>
      <w:r>
        <w:t xml:space="preserve">Prequalification Rental Application Solution</w:t>
      </w:r>
    </w:p>
    <w:p>
      <w:pPr>
        <w:pStyle w:val="BodyText"/>
      </w:pPr>
      <w:hyperlink r:id="rId29">
        <w:r>
          <w:rPr>
            <w:rStyle w:val="Hyperlink"/>
          </w:rPr>
          <w:t xml:space="preserve">https://www.realpage.com/apartment-marketing/prequalification/?utm_source=chatgpt.com</w:t>
        </w:r>
      </w:hyperlink>
    </w:p>
    <w:p>
      <w:pPr>
        <w:pStyle w:val="BodyText"/>
      </w:pPr>
      <w:hyperlink r:id="rId31">
        <w:r>
          <w:rPr>
            <w:rStyle w:val="Hyperlink"/>
          </w:rPr>
          <w:t xml:space="preserve">[9]</w:t>
        </w:r>
      </w:hyperlink>
      <w:r>
        <w:t xml:space="preserve"> </w:t>
      </w:r>
      <w:r>
        <w:t xml:space="preserve">Exploring the risks of automation bias in healthcare ...</w:t>
      </w:r>
    </w:p>
    <w:p>
      <w:pPr>
        <w:pStyle w:val="BodyText"/>
      </w:pPr>
      <w:hyperlink r:id="rId31">
        <w:r>
          <w:rPr>
            <w:rStyle w:val="Hyperlink"/>
          </w:rPr>
          <w:t xml:space="preserve">https://www.sciencedirect.com/science/article/pii/S2666449624000410?utm_source=chatgpt.com</w:t>
        </w:r>
      </w:hyperlink>
    </w:p>
    <w:p>
      <w:pPr>
        <w:pStyle w:val="BodyText"/>
      </w:pPr>
      <w:hyperlink r:id="rId32">
        <w:r>
          <w:rPr>
            <w:rStyle w:val="Hyperlink"/>
          </w:rPr>
          <w:t xml:space="preserve">[10]</w:t>
        </w:r>
      </w:hyperlink>
      <w:r>
        <w:t xml:space="preserve"> </w:t>
      </w:r>
      <w:hyperlink r:id="rId32">
        <w:r>
          <w:rPr>
            <w:rStyle w:val="Hyperlink"/>
          </w:rPr>
          <w:t xml:space="preserve">[18]</w:t>
        </w:r>
      </w:hyperlink>
      <w:r>
        <w:t xml:space="preserve"> </w:t>
      </w:r>
      <w:r>
        <w:t xml:space="preserve">Exploring automation bias in human–AI collaboration</w:t>
      </w:r>
    </w:p>
    <w:p>
      <w:pPr>
        <w:pStyle w:val="BodyText"/>
      </w:pPr>
      <w:hyperlink r:id="rId32">
        <w:r>
          <w:rPr>
            <w:rStyle w:val="Hyperlink"/>
          </w:rPr>
          <w:t xml:space="preserve">https://link.springer.com/article/10.1007/s00146-025-02422-7?utm_source=chatgpt.com</w:t>
        </w:r>
      </w:hyperlink>
    </w:p>
    <w:p>
      <w:pPr>
        <w:pStyle w:val="BodyText"/>
      </w:pPr>
      <w:hyperlink r:id="rId33">
        <w:r>
          <w:rPr>
            <w:rStyle w:val="Hyperlink"/>
          </w:rPr>
          <w:t xml:space="preserve">[11]</w:t>
        </w:r>
      </w:hyperlink>
      <w:r>
        <w:t xml:space="preserve"> </w:t>
      </w:r>
      <w:r>
        <w:t xml:space="preserve">7 of the Best AI Property Management Tools in 2026</w:t>
      </w:r>
    </w:p>
    <w:p>
      <w:pPr>
        <w:pStyle w:val="BodyText"/>
      </w:pPr>
      <w:hyperlink r:id="rId33">
        <w:r>
          <w:rPr>
            <w:rStyle w:val="Hyperlink"/>
          </w:rPr>
          <w:t xml:space="preserve">https://www.buildium.com/blog/best-ai-property-management-tools/?utm_source=chatgpt.com</w:t>
        </w:r>
      </w:hyperlink>
    </w:p>
    <w:p>
      <w:pPr>
        <w:pStyle w:val="BodyText"/>
      </w:pPr>
      <w:hyperlink r:id="rId36">
        <w:r>
          <w:rPr>
            <w:rStyle w:val="Hyperlink"/>
          </w:rPr>
          <w:t xml:space="preserve">[12]</w:t>
        </w:r>
      </w:hyperlink>
      <w:r>
        <w:t xml:space="preserve"> </w:t>
      </w:r>
      <w:hyperlink r:id="rId36">
        <w:r>
          <w:rPr>
            <w:rStyle w:val="Hyperlink"/>
          </w:rPr>
          <w:t xml:space="preserve">[14]</w:t>
        </w:r>
      </w:hyperlink>
      <w:r>
        <w:t xml:space="preserve"> </w:t>
      </w:r>
      <w:hyperlink r:id="rId36">
        <w:r>
          <w:rPr>
            <w:rStyle w:val="Hyperlink"/>
          </w:rPr>
          <w:t xml:space="preserve">[38]</w:t>
        </w:r>
      </w:hyperlink>
      <w:r>
        <w:t xml:space="preserve"> </w:t>
      </w:r>
      <w:r>
        <w:t xml:space="preserve">Property Management Maintenance Emergency Guide</w:t>
      </w:r>
    </w:p>
    <w:p>
      <w:pPr>
        <w:pStyle w:val="BodyText"/>
      </w:pPr>
      <w:hyperlink r:id="rId36">
        <w:r>
          <w:rPr>
            <w:rStyle w:val="Hyperlink"/>
          </w:rPr>
          <w:t xml:space="preserve">https://www.buildium.com/blog/property-management-maintenance-emergency-guide/?utm_source=chatgpt.com</w:t>
        </w:r>
      </w:hyperlink>
    </w:p>
    <w:p>
      <w:pPr>
        <w:pStyle w:val="BodyText"/>
      </w:pPr>
      <w:hyperlink r:id="rId37">
        <w:r>
          <w:rPr>
            <w:rStyle w:val="Hyperlink"/>
          </w:rPr>
          <w:t xml:space="preserve">[13]</w:t>
        </w:r>
      </w:hyperlink>
      <w:r>
        <w:t xml:space="preserve"> </w:t>
      </w:r>
      <w:hyperlink r:id="rId37">
        <w:r>
          <w:rPr>
            <w:rStyle w:val="Hyperlink"/>
          </w:rPr>
          <w:t xml:space="preserve">[17]</w:t>
        </w:r>
      </w:hyperlink>
      <w:r>
        <w:t xml:space="preserve"> </w:t>
      </w:r>
      <w:r>
        <w:t xml:space="preserve">Evaluating Confidence Interval Calibration with FermiEval</w:t>
      </w:r>
    </w:p>
    <w:p>
      <w:pPr>
        <w:pStyle w:val="BodyText"/>
      </w:pPr>
      <w:hyperlink r:id="rId37">
        <w:r>
          <w:rPr>
            <w:rStyle w:val="Hyperlink"/>
          </w:rPr>
          <w:t xml:space="preserve">https://arxiv.org/html/2510.26995v1?utm_source=chatgpt.com</w:t>
        </w:r>
      </w:hyperlink>
    </w:p>
    <w:p>
      <w:pPr>
        <w:pStyle w:val="BodyText"/>
      </w:pPr>
      <w:hyperlink r:id="rId39">
        <w:r>
          <w:rPr>
            <w:rStyle w:val="Hyperlink"/>
          </w:rPr>
          <w:t xml:space="preserve">[16]</w:t>
        </w:r>
      </w:hyperlink>
      <w:r>
        <w:t xml:space="preserve"> </w:t>
      </w:r>
      <w:r>
        <w:t xml:space="preserve">Unlock the Power of Presence with Smart Maintenance ...</w:t>
      </w:r>
    </w:p>
    <w:p>
      <w:pPr>
        <w:pStyle w:val="BodyText"/>
      </w:pPr>
      <w:hyperlink r:id="rId39">
        <w:r>
          <w:rPr>
            <w:rStyle w:val="Hyperlink"/>
          </w:rPr>
          <w:t xml:space="preserve">https://www.appfolio.com/blog/smart-maintenance?utm_source=chatgpt.com</w:t>
        </w:r>
      </w:hyperlink>
    </w:p>
    <w:p>
      <w:pPr>
        <w:pStyle w:val="BodyText"/>
      </w:pPr>
      <w:hyperlink r:id="rId41">
        <w:r>
          <w:rPr>
            <w:rStyle w:val="Hyperlink"/>
          </w:rPr>
          <w:t xml:space="preserve">[20]</w:t>
        </w:r>
      </w:hyperlink>
      <w:r>
        <w:t xml:space="preserve"> </w:t>
      </w:r>
      <w:hyperlink r:id="rId41">
        <w:r>
          <w:rPr>
            <w:rStyle w:val="Hyperlink"/>
          </w:rPr>
          <w:t xml:space="preserve">[42]</w:t>
        </w:r>
      </w:hyperlink>
      <w:r>
        <w:t xml:space="preserve"> </w:t>
      </w:r>
      <w:r>
        <w:t xml:space="preserve">Property Management Maintenance Contact Center</w:t>
      </w:r>
    </w:p>
    <w:p>
      <w:pPr>
        <w:pStyle w:val="BodyText"/>
      </w:pPr>
      <w:hyperlink r:id="rId41">
        <w:r>
          <w:rPr>
            <w:rStyle w:val="Hyperlink"/>
          </w:rPr>
          <w:t xml:space="preserve">https://www.buildium.com/maintenance-contact-center/?utm_source=chatgpt.com</w:t>
        </w:r>
      </w:hyperlink>
    </w:p>
    <w:p>
      <w:pPr>
        <w:pStyle w:val="BodyText"/>
      </w:pPr>
      <w:hyperlink r:id="rId42">
        <w:r>
          <w:rPr>
            <w:rStyle w:val="Hyperlink"/>
          </w:rPr>
          <w:t xml:space="preserve">[21]</w:t>
        </w:r>
      </w:hyperlink>
      <w:r>
        <w:t xml:space="preserve"> </w:t>
      </w:r>
      <w:hyperlink r:id="rId42">
        <w:r>
          <w:rPr>
            <w:rStyle w:val="Hyperlink"/>
          </w:rPr>
          <w:t xml:space="preserve">[25]</w:t>
        </w:r>
      </w:hyperlink>
      <w:r>
        <w:t xml:space="preserve"> </w:t>
      </w:r>
      <w:hyperlink r:id="rId42">
        <w:r>
          <w:rPr>
            <w:rStyle w:val="Hyperlink"/>
          </w:rPr>
          <w:t xml:space="preserve">[34]</w:t>
        </w:r>
      </w:hyperlink>
      <w:r>
        <w:t xml:space="preserve"> </w:t>
      </w:r>
      <w:r>
        <w:t xml:space="preserve">Property Management Maintenance Software</w:t>
      </w:r>
    </w:p>
    <w:p>
      <w:pPr>
        <w:pStyle w:val="BodyText"/>
      </w:pPr>
      <w:hyperlink r:id="rId42">
        <w:r>
          <w:rPr>
            <w:rStyle w:val="Hyperlink"/>
          </w:rPr>
          <w:t xml:space="preserve">https://www.appfolio.com/property-manager/maintenance?utm_source=chatgpt.com</w:t>
        </w:r>
      </w:hyperlink>
    </w:p>
    <w:p>
      <w:pPr>
        <w:pStyle w:val="BodyText"/>
      </w:pPr>
      <w:hyperlink r:id="rId45">
        <w:r>
          <w:rPr>
            <w:rStyle w:val="Hyperlink"/>
          </w:rPr>
          <w:t xml:space="preserve">[22]</w:t>
        </w:r>
      </w:hyperlink>
      <w:r>
        <w:t xml:space="preserve"> </w:t>
      </w:r>
      <w:hyperlink r:id="rId45">
        <w:r>
          <w:rPr>
            <w:rStyle w:val="Hyperlink"/>
          </w:rPr>
          <w:t xml:space="preserve">[23]</w:t>
        </w:r>
      </w:hyperlink>
      <w:r>
        <w:t xml:space="preserve"> </w:t>
      </w:r>
      <w:r>
        <w:t xml:space="preserve">2021 Rental Housing Finance Survey</w:t>
      </w:r>
    </w:p>
    <w:p>
      <w:pPr>
        <w:pStyle w:val="BodyText"/>
      </w:pPr>
      <w:hyperlink r:id="rId45">
        <w:r>
          <w:rPr>
            <w:rStyle w:val="Hyperlink"/>
          </w:rPr>
          <w:t xml:space="preserve">https://www.census.gov/content/dam/Census/library/visualizations/2021/econ/2021-RHFS-Infographic-tagged.pdf</w:t>
        </w:r>
      </w:hyperlink>
    </w:p>
    <w:p>
      <w:pPr>
        <w:pStyle w:val="BodyText"/>
      </w:pPr>
      <w:hyperlink r:id="rId47">
        <w:r>
          <w:rPr>
            <w:rStyle w:val="Hyperlink"/>
          </w:rPr>
          <w:t xml:space="preserve">[26]</w:t>
        </w:r>
      </w:hyperlink>
      <w:r>
        <w:t xml:space="preserve"> </w:t>
      </w:r>
      <w:r>
        <w:t xml:space="preserve">Lumina AI for property management</w:t>
      </w:r>
    </w:p>
    <w:p>
      <w:pPr>
        <w:pStyle w:val="BodyText"/>
      </w:pPr>
      <w:hyperlink r:id="rId47">
        <w:r>
          <w:rPr>
            <w:rStyle w:val="Hyperlink"/>
          </w:rPr>
          <w:t xml:space="preserve">https://www.buildium.com/features/ai-property-management-software/?utm_source=chatgpt.com</w:t>
        </w:r>
      </w:hyperlink>
    </w:p>
    <w:p>
      <w:pPr>
        <w:pStyle w:val="BodyText"/>
      </w:pPr>
      <w:hyperlink r:id="rId51">
        <w:r>
          <w:rPr>
            <w:rStyle w:val="Hyperlink"/>
          </w:rPr>
          <w:t xml:space="preserve">[28]</w:t>
        </w:r>
      </w:hyperlink>
      <w:r>
        <w:t xml:space="preserve"> </w:t>
      </w:r>
      <w:r>
        <w:t xml:space="preserve">Yardi Breeze pricing: What property management software ...</w:t>
      </w:r>
    </w:p>
    <w:p>
      <w:pPr>
        <w:pStyle w:val="BodyText"/>
      </w:pPr>
      <w:hyperlink r:id="rId51">
        <w:r>
          <w:rPr>
            <w:rStyle w:val="Hyperlink"/>
          </w:rPr>
          <w:t xml:space="preserve">https://www.yardibreeze.com/blog/2024/11/yardi-breeze-pricing/?utm_source=chatgpt.com</w:t>
        </w:r>
      </w:hyperlink>
    </w:p>
    <w:p>
      <w:pPr>
        <w:pStyle w:val="BodyText"/>
      </w:pPr>
      <w:hyperlink r:id="rId52">
        <w:r>
          <w:rPr>
            <w:rStyle w:val="Hyperlink"/>
          </w:rPr>
          <w:t xml:space="preserve">[29]</w:t>
        </w:r>
      </w:hyperlink>
      <w:r>
        <w:t xml:space="preserve"> </w:t>
      </w:r>
      <w:r>
        <w:t xml:space="preserve">Pricing</w:t>
      </w:r>
    </w:p>
    <w:p>
      <w:pPr>
        <w:pStyle w:val="BodyText"/>
      </w:pPr>
      <w:hyperlink r:id="rId52">
        <w:r>
          <w:rPr>
            <w:rStyle w:val="Hyperlink"/>
          </w:rPr>
          <w:t xml:space="preserve">https://www.buildium.com/pricing/?utm_source=chatgpt.com</w:t>
        </w:r>
      </w:hyperlink>
    </w:p>
    <w:p>
      <w:pPr>
        <w:pStyle w:val="BodyText"/>
      </w:pPr>
      <w:hyperlink r:id="rId53">
        <w:r>
          <w:rPr>
            <w:rStyle w:val="Hyperlink"/>
          </w:rPr>
          <w:t xml:space="preserve">[30]</w:t>
        </w:r>
      </w:hyperlink>
      <w:r>
        <w:t xml:space="preserve"> </w:t>
      </w:r>
      <w:hyperlink r:id="rId53">
        <w:r>
          <w:rPr>
            <w:rStyle w:val="Hyperlink"/>
          </w:rPr>
          <w:t xml:space="preserve">[32]</w:t>
        </w:r>
      </w:hyperlink>
      <w:r>
        <w:t xml:space="preserve"> </w:t>
      </w:r>
      <w:r>
        <w:t xml:space="preserve">Avail Pricing: One Platform for Every Landlord</w:t>
      </w:r>
    </w:p>
    <w:p>
      <w:pPr>
        <w:pStyle w:val="BodyText"/>
      </w:pPr>
      <w:hyperlink r:id="rId53">
        <w:r>
          <w:rPr>
            <w:rStyle w:val="Hyperlink"/>
          </w:rPr>
          <w:t xml:space="preserve">https://www.avail.com/pricing?utm_source=chatgpt.com</w:t>
        </w:r>
      </w:hyperlink>
    </w:p>
    <w:p>
      <w:pPr>
        <w:pStyle w:val="BodyText"/>
      </w:pPr>
      <w:hyperlink r:id="rId54">
        <w:r>
          <w:rPr>
            <w:rStyle w:val="Hyperlink"/>
          </w:rPr>
          <w:t xml:space="preserve">[31]</w:t>
        </w:r>
      </w:hyperlink>
      <w:r>
        <w:t xml:space="preserve"> </w:t>
      </w:r>
      <w:r>
        <w:t xml:space="preserve">Navigating Property Management Software Costs</w:t>
      </w:r>
    </w:p>
    <w:p>
      <w:pPr>
        <w:pStyle w:val="BodyText"/>
      </w:pPr>
      <w:hyperlink r:id="rId54">
        <w:r>
          <w:rPr>
            <w:rStyle w:val="Hyperlink"/>
          </w:rPr>
          <w:t xml:space="preserve">https://www.tenantcloud.com/blog/property-management-software-costs?utm_source=chatgpt.com</w:t>
        </w:r>
      </w:hyperlink>
    </w:p>
    <w:p>
      <w:pPr>
        <w:pStyle w:val="BodyText"/>
      </w:pPr>
      <w:hyperlink r:id="rId56">
        <w:r>
          <w:rPr>
            <w:rStyle w:val="Hyperlink"/>
          </w:rPr>
          <w:t xml:space="preserve">[35]</w:t>
        </w:r>
      </w:hyperlink>
      <w:r>
        <w:t xml:space="preserve"> </w:t>
      </w:r>
      <w:r>
        <w:t xml:space="preserve">Changes in New York State Rent Law</w:t>
      </w:r>
    </w:p>
    <w:p>
      <w:pPr>
        <w:pStyle w:val="BodyText"/>
      </w:pPr>
      <w:hyperlink r:id="rId56">
        <w:r>
          <w:rPr>
            <w:rStyle w:val="Hyperlink"/>
          </w:rPr>
          <w:t xml:space="preserve">https://ag.ny.gov/sites/default/files/changes-in-nys-rent-law.pdf?utm_source=chatgpt.com</w:t>
        </w:r>
      </w:hyperlink>
    </w:p>
    <w:p>
      <w:pPr>
        <w:pStyle w:val="BodyText"/>
      </w:pPr>
      <w:hyperlink r:id="rId59">
        <w:r>
          <w:rPr>
            <w:rStyle w:val="Hyperlink"/>
          </w:rPr>
          <w:t xml:space="preserve">[36]</w:t>
        </w:r>
      </w:hyperlink>
      <w:r>
        <w:t xml:space="preserve"> </w:t>
      </w:r>
      <w:hyperlink r:id="rId59">
        <w:r>
          <w:rPr>
            <w:rStyle w:val="Hyperlink"/>
          </w:rPr>
          <w:t xml:space="preserve">[37]</w:t>
        </w:r>
      </w:hyperlink>
      <w:r>
        <w:t xml:space="preserve"> </w:t>
      </w:r>
      <w:hyperlink r:id="rId59">
        <w:r>
          <w:rPr>
            <w:rStyle w:val="Hyperlink"/>
          </w:rPr>
          <w:t xml:space="preserve">[41]</w:t>
        </w:r>
      </w:hyperlink>
      <w:r>
        <w:t xml:space="preserve"> </w:t>
      </w:r>
      <w:hyperlink r:id="rId59">
        <w:r>
          <w:rPr>
            <w:rStyle w:val="Hyperlink"/>
          </w:rPr>
          <w:t xml:space="preserve">[46]</w:t>
        </w:r>
      </w:hyperlink>
      <w:r>
        <w:t xml:space="preserve"> </w:t>
      </w:r>
      <w:r>
        <w:t xml:space="preserve">Guidance on Application of the Fair Housing Act to the ...</w:t>
      </w:r>
    </w:p>
    <w:p>
      <w:pPr>
        <w:pStyle w:val="BodyText"/>
      </w:pPr>
      <w:hyperlink r:id="rId59">
        <w:r>
          <w:rPr>
            <w:rStyle w:val="Hyperlink"/>
          </w:rPr>
          <w:t xml:space="preserve">https://www.fairhousingnc.org/wp-content/uploads/2024/08/FHEO_Guidance_on_Screening_of_Applicants_for_Rental_Housing.pdf?utm_source=chatgpt.com</w:t>
        </w:r>
      </w:hyperlink>
    </w:p>
    <w:p>
      <w:pPr>
        <w:pStyle w:val="BodyText"/>
      </w:pPr>
      <w:hyperlink r:id="rId61">
        <w:r>
          <w:rPr>
            <w:rStyle w:val="Hyperlink"/>
          </w:rPr>
          <w:t xml:space="preserve">[39]</w:t>
        </w:r>
      </w:hyperlink>
      <w:r>
        <w:t xml:space="preserve"> </w:t>
      </w:r>
      <w:r>
        <w:t xml:space="preserve">Using Consumer Reports: What Landlords Need to Know</w:t>
      </w:r>
    </w:p>
    <w:p>
      <w:pPr>
        <w:pStyle w:val="BodyText"/>
      </w:pPr>
      <w:hyperlink r:id="rId61">
        <w:r>
          <w:rPr>
            <w:rStyle w:val="Hyperlink"/>
          </w:rPr>
          <w:t xml:space="preserve">https://www.ftc.gov/business-guidance/resources/using-consumer-reports-what-landlords-need-know?utm_source=chatgpt.com</w:t>
        </w:r>
      </w:hyperlink>
    </w:p>
    <w:p>
      <w:pPr>
        <w:pStyle w:val="BodyText"/>
      </w:pPr>
      <w:hyperlink r:id="rId62">
        <w:r>
          <w:rPr>
            <w:rStyle w:val="Hyperlink"/>
          </w:rPr>
          <w:t xml:space="preserve">[40]</w:t>
        </w:r>
      </w:hyperlink>
      <w:r>
        <w:t xml:space="preserve"> </w:t>
      </w:r>
      <w:r>
        <w:t xml:space="preserve">Using Consumer Reports: What Landlords Need to Know</w:t>
      </w:r>
    </w:p>
    <w:p>
      <w:pPr>
        <w:pStyle w:val="BodyText"/>
      </w:pPr>
      <w:hyperlink r:id="rId62">
        <w:r>
          <w:rPr>
            <w:rStyle w:val="Hyperlink"/>
          </w:rPr>
          <w:t xml:space="preserve">https://www.ftc.gov/system/files/documents/plain-language/bus49-using-consumer-reports-what-landlords-need-know.pdf?utm_source=chatgpt.com</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g.ny.gov/sites/default/files/changes-in-nys-rent-law.pdf?utm_source=chatgpt.com" TargetMode="External" /><Relationship Type="http://schemas.openxmlformats.org/officeDocument/2006/relationships/hyperlink" Id="rId21" Target="https://archives.hud.gov/news/2022/pr22-242.cfm?utm_source=chatgpt.com" TargetMode="External" /><Relationship Type="http://schemas.openxmlformats.org/officeDocument/2006/relationships/hyperlink" Id="rId37" Target="https://arxiv.org/html/2510.26995v1?utm_source=chatgpt.com" TargetMode="External" /><Relationship Type="http://schemas.openxmlformats.org/officeDocument/2006/relationships/hyperlink" Id="rId32" Target="https://link.springer.com/article/10.1007/s00146-025-02422-7?utm_source=chatgpt.com" TargetMode="External" /><Relationship Type="http://schemas.openxmlformats.org/officeDocument/2006/relationships/hyperlink" Id="rId28" Target="https://nvlpubs.nist.gov/nistpubs/ai/NIST.AI.600-1.pdf?utm_source=chatgpt.com" TargetMode="External" /><Relationship Type="http://schemas.openxmlformats.org/officeDocument/2006/relationships/hyperlink" Id="rId26" Target="https://snappt.com/?utm_source=chatgpt.com" TargetMode="External" /><Relationship Type="http://schemas.openxmlformats.org/officeDocument/2006/relationships/hyperlink" Id="rId25" Target="https://www.appfolio.com/articles/2024-q4-product-update?utm_source=chatgpt.com" TargetMode="External" /><Relationship Type="http://schemas.openxmlformats.org/officeDocument/2006/relationships/hyperlink" Id="rId39" Target="https://www.appfolio.com/blog/smart-maintenance?utm_source=chatgpt.com" TargetMode="External" /><Relationship Type="http://schemas.openxmlformats.org/officeDocument/2006/relationships/hyperlink" Id="rId42" Target="https://www.appfolio.com/property-manager/maintenance?utm_source=chatgpt.com" TargetMode="External" /><Relationship Type="http://schemas.openxmlformats.org/officeDocument/2006/relationships/hyperlink" Id="rId53" Target="https://www.avail.com/pricing?utm_source=chatgpt.com" TargetMode="External" /><Relationship Type="http://schemas.openxmlformats.org/officeDocument/2006/relationships/hyperlink" Id="rId33" Target="https://www.buildium.com/blog/best-ai-property-management-tools/?utm_source=chatgpt.com" TargetMode="External" /><Relationship Type="http://schemas.openxmlformats.org/officeDocument/2006/relationships/hyperlink" Id="rId36" Target="https://www.buildium.com/blog/property-management-maintenance-emergency-guide/?utm_source=chatgpt.com" TargetMode="External" /><Relationship Type="http://schemas.openxmlformats.org/officeDocument/2006/relationships/hyperlink" Id="rId47" Target="https://www.buildium.com/features/ai-property-management-software/?utm_source=chatgpt.com" TargetMode="External" /><Relationship Type="http://schemas.openxmlformats.org/officeDocument/2006/relationships/hyperlink" Id="rId41" Target="https://www.buildium.com/maintenance-contact-center/?utm_source=chatgpt.com" TargetMode="External" /><Relationship Type="http://schemas.openxmlformats.org/officeDocument/2006/relationships/hyperlink" Id="rId52" Target="https://www.buildium.com/pricing/?utm_source=chatgpt.com" TargetMode="External" /><Relationship Type="http://schemas.openxmlformats.org/officeDocument/2006/relationships/hyperlink" Id="rId45" Target="https://www.census.gov/content/dam/Census/library/visualizations/2021/econ/2021-RHFS-Infographic-tagged.pdf" TargetMode="External" /><Relationship Type="http://schemas.openxmlformats.org/officeDocument/2006/relationships/hyperlink" Id="rId59" Target="https://www.fairhousingnc.org/wp-content/uploads/2024/08/FHEO_Guidance_on_Screening_of_Applicants_for_Rental_Housing.pdf?utm_source=chatgpt.com" TargetMode="External" /><Relationship Type="http://schemas.openxmlformats.org/officeDocument/2006/relationships/hyperlink" Id="rId61" Target="https://www.ftc.gov/business-guidance/resources/using-consumer-reports-what-landlords-need-know?utm_source=chatgpt.com" TargetMode="External" /><Relationship Type="http://schemas.openxmlformats.org/officeDocument/2006/relationships/hyperlink" Id="rId62" Target="https://www.ftc.gov/system/files/documents/plain-language/bus49-using-consumer-reports-what-landlords-need-know.pdf?utm_source=chatgpt.com" TargetMode="External" /><Relationship Type="http://schemas.openxmlformats.org/officeDocument/2006/relationships/hyperlink" Id="rId22" Target="https://www.multifamilyexecutive.com/technology/snappt-report-6-4-of-rental-applications-were-fraudulent-in-2024_o?utm_source=chatgpt.com" TargetMode="External" /><Relationship Type="http://schemas.openxmlformats.org/officeDocument/2006/relationships/hyperlink" Id="rId29" Target="https://www.realpage.com/apartment-marketing/prequalification/?utm_source=chatgpt.com" TargetMode="External" /><Relationship Type="http://schemas.openxmlformats.org/officeDocument/2006/relationships/hyperlink" Id="rId31" Target="https://www.sciencedirect.com/science/article/pii/S2666449624000410?utm_source=chatgpt.com" TargetMode="External" /><Relationship Type="http://schemas.openxmlformats.org/officeDocument/2006/relationships/hyperlink" Id="rId54" Target="https://www.tenantcloud.com/blog/property-management-software-costs?utm_source=chatgpt.com" TargetMode="External" /><Relationship Type="http://schemas.openxmlformats.org/officeDocument/2006/relationships/hyperlink" Id="rId23" Target="https://www.yardi.com/news/press-releases/yardi-launches-virtuoso-ai-agents-to-deploy-ai-powered-workflows/?utm_source=chatgpt.com" TargetMode="External" /><Relationship Type="http://schemas.openxmlformats.org/officeDocument/2006/relationships/hyperlink" Id="rId51" Target="https://www.yardibreeze.com/blog/2024/11/yardi-breeze-pricing/?utm_source=chatgpt.com" TargetMode="External" /><Relationship Type="http://schemas.openxmlformats.org/officeDocument/2006/relationships/hyperlink" Id="rId27" Target="https://www.zillow.com/rental-manager/rental-applications-faq/?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6" Target="https://ag.ny.gov/sites/default/files/changes-in-nys-rent-law.pdf?utm_source=chatgpt.com" TargetMode="External" /><Relationship Type="http://schemas.openxmlformats.org/officeDocument/2006/relationships/hyperlink" Id="rId21" Target="https://archives.hud.gov/news/2022/pr22-242.cfm?utm_source=chatgpt.com" TargetMode="External" /><Relationship Type="http://schemas.openxmlformats.org/officeDocument/2006/relationships/hyperlink" Id="rId37" Target="https://arxiv.org/html/2510.26995v1?utm_source=chatgpt.com" TargetMode="External" /><Relationship Type="http://schemas.openxmlformats.org/officeDocument/2006/relationships/hyperlink" Id="rId32" Target="https://link.springer.com/article/10.1007/s00146-025-02422-7?utm_source=chatgpt.com" TargetMode="External" /><Relationship Type="http://schemas.openxmlformats.org/officeDocument/2006/relationships/hyperlink" Id="rId28" Target="https://nvlpubs.nist.gov/nistpubs/ai/NIST.AI.600-1.pdf?utm_source=chatgpt.com" TargetMode="External" /><Relationship Type="http://schemas.openxmlformats.org/officeDocument/2006/relationships/hyperlink" Id="rId26" Target="https://snappt.com/?utm_source=chatgpt.com" TargetMode="External" /><Relationship Type="http://schemas.openxmlformats.org/officeDocument/2006/relationships/hyperlink" Id="rId25" Target="https://www.appfolio.com/articles/2024-q4-product-update?utm_source=chatgpt.com" TargetMode="External" /><Relationship Type="http://schemas.openxmlformats.org/officeDocument/2006/relationships/hyperlink" Id="rId39" Target="https://www.appfolio.com/blog/smart-maintenance?utm_source=chatgpt.com" TargetMode="External" /><Relationship Type="http://schemas.openxmlformats.org/officeDocument/2006/relationships/hyperlink" Id="rId42" Target="https://www.appfolio.com/property-manager/maintenance?utm_source=chatgpt.com" TargetMode="External" /><Relationship Type="http://schemas.openxmlformats.org/officeDocument/2006/relationships/hyperlink" Id="rId53" Target="https://www.avail.com/pricing?utm_source=chatgpt.com" TargetMode="External" /><Relationship Type="http://schemas.openxmlformats.org/officeDocument/2006/relationships/hyperlink" Id="rId33" Target="https://www.buildium.com/blog/best-ai-property-management-tools/?utm_source=chatgpt.com" TargetMode="External" /><Relationship Type="http://schemas.openxmlformats.org/officeDocument/2006/relationships/hyperlink" Id="rId36" Target="https://www.buildium.com/blog/property-management-maintenance-emergency-guide/?utm_source=chatgpt.com" TargetMode="External" /><Relationship Type="http://schemas.openxmlformats.org/officeDocument/2006/relationships/hyperlink" Id="rId47" Target="https://www.buildium.com/features/ai-property-management-software/?utm_source=chatgpt.com" TargetMode="External" /><Relationship Type="http://schemas.openxmlformats.org/officeDocument/2006/relationships/hyperlink" Id="rId41" Target="https://www.buildium.com/maintenance-contact-center/?utm_source=chatgpt.com" TargetMode="External" /><Relationship Type="http://schemas.openxmlformats.org/officeDocument/2006/relationships/hyperlink" Id="rId52" Target="https://www.buildium.com/pricing/?utm_source=chatgpt.com" TargetMode="External" /><Relationship Type="http://schemas.openxmlformats.org/officeDocument/2006/relationships/hyperlink" Id="rId45" Target="https://www.census.gov/content/dam/Census/library/visualizations/2021/econ/2021-RHFS-Infographic-tagged.pdf" TargetMode="External" /><Relationship Type="http://schemas.openxmlformats.org/officeDocument/2006/relationships/hyperlink" Id="rId59" Target="https://www.fairhousingnc.org/wp-content/uploads/2024/08/FHEO_Guidance_on_Screening_of_Applicants_for_Rental_Housing.pdf?utm_source=chatgpt.com" TargetMode="External" /><Relationship Type="http://schemas.openxmlformats.org/officeDocument/2006/relationships/hyperlink" Id="rId61" Target="https://www.ftc.gov/business-guidance/resources/using-consumer-reports-what-landlords-need-know?utm_source=chatgpt.com" TargetMode="External" /><Relationship Type="http://schemas.openxmlformats.org/officeDocument/2006/relationships/hyperlink" Id="rId62" Target="https://www.ftc.gov/system/files/documents/plain-language/bus49-using-consumer-reports-what-landlords-need-know.pdf?utm_source=chatgpt.com" TargetMode="External" /><Relationship Type="http://schemas.openxmlformats.org/officeDocument/2006/relationships/hyperlink" Id="rId22" Target="https://www.multifamilyexecutive.com/technology/snappt-report-6-4-of-rental-applications-were-fraudulent-in-2024_o?utm_source=chatgpt.com" TargetMode="External" /><Relationship Type="http://schemas.openxmlformats.org/officeDocument/2006/relationships/hyperlink" Id="rId29" Target="https://www.realpage.com/apartment-marketing/prequalification/?utm_source=chatgpt.com" TargetMode="External" /><Relationship Type="http://schemas.openxmlformats.org/officeDocument/2006/relationships/hyperlink" Id="rId31" Target="https://www.sciencedirect.com/science/article/pii/S2666449624000410?utm_source=chatgpt.com" TargetMode="External" /><Relationship Type="http://schemas.openxmlformats.org/officeDocument/2006/relationships/hyperlink" Id="rId54" Target="https://www.tenantcloud.com/blog/property-management-software-costs?utm_source=chatgpt.com" TargetMode="External" /><Relationship Type="http://schemas.openxmlformats.org/officeDocument/2006/relationships/hyperlink" Id="rId23" Target="https://www.yardi.com/news/press-releases/yardi-launches-virtuoso-ai-agents-to-deploy-ai-powered-workflows/?utm_source=chatgpt.com" TargetMode="External" /><Relationship Type="http://schemas.openxmlformats.org/officeDocument/2006/relationships/hyperlink" Id="rId51" Target="https://www.yardibreeze.com/blog/2024/11/yardi-breeze-pricing/?utm_source=chatgpt.com" TargetMode="External" /><Relationship Type="http://schemas.openxmlformats.org/officeDocument/2006/relationships/hyperlink" Id="rId27" Target="https://www.zillow.com/rental-manager/rental-applications-faq/?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2026-04-07T22:35:27Z</dcterms:created>
  <dcterms:modified xsi:type="dcterms:W3CDTF">2026-04-07T22:35:27Z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