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40"/>
              <w:left w:type="dxa" w:w="360"/>
              <w:bottom w:type="dxa" w:w="240"/>
              <w:right w:type="dxa" w:w="360"/>
            </w:tcMar>
          </w:tcPr>
          <w:p>
            <w:pPr>
              <w:spacing w:after="80" w:before="0"/>
              <w:jc w:val="left"/>
            </w:pPr>
            <w:r>
              <w:rPr>
                <w:rFonts w:ascii="Arial" w:cs="Arial" w:eastAsia="Arial" w:hAnsi="Arial"/>
                <w:b/>
                <w:bCs/>
                <w:color w:val="A0B8D8"/>
                <w:sz w:val="18"/>
                <w:szCs w:val="18"/>
              </w:rPr>
              <w:t xml:space="preserve">COMPETITIVE LANDSCAPE</w:t>
            </w:r>
          </w:p>
          <w:p>
            <w:pPr>
              <w:spacing w:after="80" w:before="0"/>
              <w:jc w:val="left"/>
            </w:pPr>
            <w:r>
              <w:rPr>
                <w:rFonts w:ascii="Arial" w:cs="Arial" w:eastAsia="Arial" w:hAnsi="Arial"/>
                <w:b/>
                <w:bCs/>
                <w:color w:val="FFFFFF"/>
                <w:sz w:val="40"/>
                <w:szCs w:val="40"/>
              </w:rPr>
              <w:t xml:space="preserve">PropertyOps AI</w:t>
            </w:r>
          </w:p>
          <w:p>
            <w:pPr>
              <w:spacing w:after="0" w:before="0"/>
              <w:jc w:val="left"/>
            </w:pPr>
            <w:r>
              <w:rPr>
                <w:rFonts w:ascii="Arial" w:cs="Arial" w:eastAsia="Arial" w:hAnsi="Arial"/>
                <w:i/>
                <w:iCs/>
                <w:color w:val="D5E8F0"/>
                <w:sz w:val="22"/>
                <w:szCs w:val="22"/>
              </w:rPr>
              <w:t xml:space="preserve">Why no existing platform protects your portfolio the way we do.</w:t>
            </w:r>
          </w:p>
        </w:tc>
      </w:tr>
    </w:tbl>
    <w:p>
      <w:pPr>
        <w:spacing w:after="0" w:before="240"/>
      </w:pPr>
    </w:p>
    <w:p>
      <w:pPr>
        <w:spacing w:after="140" w:before="0"/>
        <w:jc w:val="left"/>
      </w:pPr>
      <w:r>
        <w:rPr>
          <w:rFonts w:ascii="Arial" w:cs="Arial" w:eastAsia="Arial" w:hAnsi="Arial"/>
          <w:b w:val="false"/>
          <w:bCs w:val="false"/>
          <w:i w:val="false"/>
          <w:iCs w:val="false"/>
          <w:color w:val="404040"/>
          <w:sz w:val="20"/>
          <w:szCs w:val="20"/>
        </w:rPr>
        <w:t xml:space="preserve">The property management software market is crowded at the top and underserved at your level. Enterprise platforms like AppFolio were built for institutional operators. Screening tools produce scores without showing their work. AI maintenance bots dispatch without safety rails. None of them were designed with the independent landlord in mind.</w:t>
      </w:r>
    </w:p>
    <w:p>
      <w:pPr>
        <w:spacing w:after="140" w:before="0"/>
        <w:jc w:val="left"/>
      </w:pPr>
      <w:r>
        <w:rPr>
          <w:rFonts w:ascii="Arial" w:cs="Arial" w:eastAsia="Arial" w:hAnsi="Arial"/>
          <w:b w:val="false"/>
          <w:bCs w:val="false"/>
          <w:i w:val="false"/>
          <w:iCs w:val="false"/>
          <w:color w:val="404040"/>
          <w:sz w:val="20"/>
          <w:szCs w:val="20"/>
        </w:rPr>
        <w:t xml:space="preserve">PropertyOps AI was built from the ground up for portfolios between 5 and 150 units — with compliance architecture, document forensics, and a human-approval-first philosophy that no incumbent can replicate without rebuilding their core product.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3864"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1</w:t>
            </w:r>
          </w:p>
        </w:tc>
        <w:tc>
          <w:tcPr>
            <w:tcW w:type="dxa" w:w="8760"/>
            <w:tcBorders>
              <w:top w:val="none" w:color="FFFFFF" w:sz="0"/>
              <w:left w:val="none" w:color="FFFFFF" w:sz="0"/>
              <w:bottom w:val="none" w:color="FFFFFF" w:sz="0"/>
              <w:right w:val="none" w:color="FFFFFF" w:sz="0"/>
            </w:tcBorders>
            <w:shd w:fill="2E75B6" w:val="clear"/>
            <w:tcMar>
              <w:top w:type="dxa" w:w="100"/>
              <w:left w:type="dxa" w:w="180"/>
              <w:bottom w:type="dxa" w:w="100"/>
              <w:right w:type="dxa" w:w="120"/>
            </w:tcMar>
            <w:vAlign w:val="center"/>
          </w:tcPr>
          <w:p>
            <w:pPr>
              <w:spacing w:after="0" w:before="0"/>
            </w:pPr>
            <w:r>
              <w:rPr>
                <w:rFonts w:ascii="Arial" w:cs="Arial" w:eastAsia="Arial" w:hAnsi="Arial"/>
                <w:b/>
                <w:bCs/>
                <w:color w:val="FFFFFF"/>
                <w:sz w:val="22"/>
                <w:szCs w:val="22"/>
              </w:rPr>
              <w:t xml:space="preserve">LEGACY SYSTEMS OF RECORD — APPFOLIO, BUILDIUM, YARDI</w:t>
            </w:r>
          </w:p>
        </w:tc>
      </w:tr>
    </w:tbl>
    <w:p>
      <w:pPr>
        <w:spacing w:after="0" w:before="120"/>
      </w:pPr>
    </w:p>
    <w:tbl>
      <w:tblPr>
        <w:tblW w:type="dxa" w:w="9360"/>
        <w:tblBorders>
          <w:top w:val="single" w:color="D9D9D9" w:sz="4"/>
          <w:left w:val="single" w:color="D9D9D9" w:sz="4"/>
          <w:bottom w:val="single" w:color="D9D9D9" w:sz="4"/>
          <w:right w:val="single" w:color="D9D9D9"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BDD7EE" w:val="clear"/>
            <w:tcMar>
              <w:top w:type="dxa" w:w="80"/>
              <w:left w:type="dxa" w:w="160"/>
              <w:bottom w:type="dxa" w:w="80"/>
              <w:right w:type="dxa" w:w="160"/>
            </w:tcMar>
          </w:tcPr>
          <w:p>
            <w:pPr>
              <w:spacing w:after="0" w:before="0"/>
              <w:jc w:val="left"/>
            </w:pPr>
            <w:r>
              <w:rPr>
                <w:rFonts w:ascii="Arial" w:cs="Arial" w:eastAsia="Arial" w:hAnsi="Arial"/>
                <w:b/>
                <w:bCs/>
                <w:i w:val="false"/>
                <w:iCs w:val="false"/>
                <w:color w:val="1F3864"/>
                <w:sz w:val="22"/>
                <w:szCs w:val="22"/>
              </w:rPr>
              <w:t xml:space="preserve">AppFolio / Buildium / Yardi</w:t>
            </w:r>
            <w:r>
              <w:rPr>
                <w:rFonts w:ascii="Arial" w:cs="Arial" w:eastAsia="Arial" w:hAnsi="Arial"/>
                <w:b w:val="false"/>
                <w:bCs w:val="false"/>
                <w:i w:val="false"/>
                <w:iCs w:val="false"/>
                <w:color w:val="888888"/>
                <w:sz w:val="20"/>
                <w:szCs w:val="20"/>
              </w:rPr>
              <w:t xml:space="preserve">   |   </w:t>
            </w:r>
            <w:r>
              <w:rPr>
                <w:rFonts w:ascii="Arial" w:cs="Arial" w:eastAsia="Arial" w:hAnsi="Arial"/>
                <w:b w:val="false"/>
                <w:bCs w:val="false"/>
                <w:i/>
                <w:iCs/>
                <w:color w:val="555555"/>
                <w:sz w:val="20"/>
                <w:szCs w:val="20"/>
              </w:rPr>
              <w:t xml:space="preserve">Full-featured property management platforms</w:t>
            </w:r>
          </w:p>
        </w:tc>
      </w:tr>
      <w:tr>
        <w:tc>
          <w:tcPr>
            <w:tcW w:type="dxa" w:w="4680"/>
            <w:tcBorders>
              <w:top w:val="none" w:color="FFFFFF" w:sz="0"/>
              <w:left w:val="none" w:color="FFFFFF" w:sz="0"/>
              <w:bottom w:val="single" w:color="D9D9D9" w:sz="4"/>
              <w:right w:val="single" w:color="D9D9D9" w:sz="4"/>
            </w:tcBorders>
            <w:shd w:fill="F5F5F5" w:val="clear"/>
            <w:tcMar>
              <w:top w:type="dxa" w:w="60"/>
              <w:left w:type="dxa" w:w="160"/>
              <w:bottom w:type="dxa" w:w="60"/>
              <w:right w:type="dxa" w:w="120"/>
            </w:tcMar>
          </w:tcPr>
          <w:p>
            <w:pPr>
              <w:spacing w:after="0" w:before="0"/>
              <w:jc w:val="left"/>
            </w:pPr>
            <w:r>
              <w:rPr>
                <w:rFonts w:ascii="Arial" w:cs="Arial" w:eastAsia="Arial" w:hAnsi="Arial"/>
                <w:b/>
                <w:bCs/>
                <w:i w:val="false"/>
                <w:iCs w:val="false"/>
                <w:color w:val="777777"/>
                <w:sz w:val="18"/>
                <w:szCs w:val="18"/>
              </w:rPr>
              <w:t xml:space="preserve">Their Limitations</w:t>
            </w:r>
          </w:p>
        </w:tc>
        <w:tc>
          <w:tcPr>
            <w:tcW w:type="dxa" w:w="4680"/>
            <w:tcBorders>
              <w:top w:val="none" w:color="FFFFFF" w:sz="0"/>
              <w:left w:val="none" w:color="FFFFFF" w:sz="0"/>
              <w:bottom w:val="single" w:color="D9D9D9" w:sz="4"/>
              <w:right w:val="none" w:color="FFFFFF" w:sz="0"/>
            </w:tcBorders>
            <w:shd w:fill="D5E8F0" w:val="clear"/>
            <w:tcMar>
              <w:top w:type="dxa" w:w="60"/>
              <w:left w:type="dxa" w:w="160"/>
              <w:bottom w:type="dxa" w:w="60"/>
              <w:right w:type="dxa" w:w="120"/>
            </w:tcMar>
          </w:tcPr>
          <w:p>
            <w:pPr>
              <w:spacing w:after="0" w:before="0"/>
              <w:jc w:val="left"/>
            </w:pPr>
            <w:r>
              <w:rPr>
                <w:rFonts w:ascii="Arial" w:cs="Arial" w:eastAsia="Arial" w:hAnsi="Arial"/>
                <w:b/>
                <w:bCs/>
                <w:i w:val="false"/>
                <w:iCs w:val="false"/>
                <w:color w:val="1F3864"/>
                <w:sz w:val="18"/>
                <w:szCs w:val="18"/>
              </w:rPr>
              <w:t xml:space="preserve">PropertyOps AI Advantage</w:t>
            </w:r>
          </w:p>
        </w:tc>
      </w:tr>
      <w:tr>
        <w:tc>
          <w:tcPr>
            <w:tcW w:type="dxa" w:w="4680"/>
            <w:tcBorders>
              <w:top w:val="none" w:color="FFFFFF" w:sz="0"/>
              <w:left w:val="none" w:color="FFFFFF" w:sz="0"/>
              <w:bottom w:val="none" w:color="FFFFFF" w:sz="0"/>
              <w:right w:val="single" w:color="D9D9D9" w:sz="4"/>
            </w:tcBorders>
            <w:shd w:fill="FAFAFA" w:val="clear"/>
            <w:tcMar>
              <w:top w:type="dxa" w:w="100"/>
              <w:left w:type="dxa" w:w="160"/>
              <w:bottom w:type="dxa" w:w="100"/>
              <w:right w:type="dxa" w:w="120"/>
            </w:tcMar>
          </w:tcPr>
          <w:p>
            <w:pPr>
              <w:spacing w:after="40" w:before="40"/>
              <w:ind w:left="80"/>
              <w:jc w:val="left"/>
            </w:pPr>
            <w:r>
              <w:rPr>
                <w:rFonts w:ascii="Arial" w:cs="Arial" w:eastAsia="Arial" w:hAnsi="Arial"/>
                <w:b/>
                <w:bCs/>
                <w:i w:val="false"/>
                <w:iCs w:val="false"/>
                <w:color w:val="AA0000"/>
                <w:sz w:val="19"/>
                <w:szCs w:val="19"/>
              </w:rPr>
              <w:t xml:space="preserve">✗  </w:t>
            </w:r>
            <w:r>
              <w:rPr>
                <w:rFonts w:ascii="Arial" w:cs="Arial" w:eastAsia="Arial" w:hAnsi="Arial"/>
                <w:b w:val="false"/>
                <w:bCs w:val="false"/>
                <w:i w:val="false"/>
                <w:iCs w:val="false"/>
                <w:color w:val="444444"/>
                <w:sz w:val="19"/>
                <w:szCs w:val="19"/>
              </w:rPr>
              <w:t xml:space="preserve">Built for institutional operators — minimum viable portfolio is typically 100+ units</w:t>
            </w:r>
          </w:p>
          <w:p>
            <w:pPr>
              <w:spacing w:after="40" w:before="40"/>
              <w:ind w:left="80"/>
              <w:jc w:val="left"/>
            </w:pPr>
            <w:r>
              <w:rPr>
                <w:rFonts w:ascii="Arial" w:cs="Arial" w:eastAsia="Arial" w:hAnsi="Arial"/>
                <w:b/>
                <w:bCs/>
                <w:i w:val="false"/>
                <w:iCs w:val="false"/>
                <w:color w:val="AA0000"/>
                <w:sz w:val="19"/>
                <w:szCs w:val="19"/>
              </w:rPr>
              <w:t xml:space="preserve">✗  </w:t>
            </w:r>
            <w:r>
              <w:rPr>
                <w:rFonts w:ascii="Arial" w:cs="Arial" w:eastAsia="Arial" w:hAnsi="Arial"/>
                <w:b w:val="false"/>
                <w:bCs w:val="false"/>
                <w:i w:val="false"/>
                <w:iCs w:val="false"/>
                <w:color w:val="444444"/>
                <w:sz w:val="19"/>
                <w:szCs w:val="19"/>
              </w:rPr>
              <w:t xml:space="preserve">Require manual action for every operational task: maintenance requests, tenant comms, document review</w:t>
            </w:r>
          </w:p>
          <w:p>
            <w:pPr>
              <w:spacing w:after="40" w:before="40"/>
              <w:ind w:left="80"/>
              <w:jc w:val="left"/>
            </w:pPr>
            <w:r>
              <w:rPr>
                <w:rFonts w:ascii="Arial" w:cs="Arial" w:eastAsia="Arial" w:hAnsi="Arial"/>
                <w:b/>
                <w:bCs/>
                <w:i w:val="false"/>
                <w:iCs w:val="false"/>
                <w:color w:val="AA0000"/>
                <w:sz w:val="19"/>
                <w:szCs w:val="19"/>
              </w:rPr>
              <w:t xml:space="preserve">✗  </w:t>
            </w:r>
            <w:r>
              <w:rPr>
                <w:rFonts w:ascii="Arial" w:cs="Arial" w:eastAsia="Arial" w:hAnsi="Arial"/>
                <w:b w:val="false"/>
                <w:bCs w:val="false"/>
                <w:i w:val="false"/>
                <w:iCs w:val="false"/>
                <w:color w:val="444444"/>
                <w:sz w:val="19"/>
                <w:szCs w:val="19"/>
              </w:rPr>
              <w:t xml:space="preserve">No forensic document analysis — they store PDFs, they don't interrogate them</w:t>
            </w:r>
          </w:p>
          <w:p>
            <w:pPr>
              <w:spacing w:after="40" w:before="40"/>
              <w:ind w:left="80"/>
              <w:jc w:val="left"/>
            </w:pPr>
            <w:r>
              <w:rPr>
                <w:rFonts w:ascii="Arial" w:cs="Arial" w:eastAsia="Arial" w:hAnsi="Arial"/>
                <w:b/>
                <w:bCs/>
                <w:i w:val="false"/>
                <w:iCs w:val="false"/>
                <w:color w:val="AA0000"/>
                <w:sz w:val="19"/>
                <w:szCs w:val="19"/>
              </w:rPr>
              <w:t xml:space="preserve">✗  </w:t>
            </w:r>
            <w:r>
              <w:rPr>
                <w:rFonts w:ascii="Arial" w:cs="Arial" w:eastAsia="Arial" w:hAnsi="Arial"/>
                <w:b w:val="false"/>
                <w:bCs w:val="false"/>
                <w:i w:val="false"/>
                <w:iCs w:val="false"/>
                <w:color w:val="444444"/>
                <w:sz w:val="19"/>
                <w:szCs w:val="19"/>
              </w:rPr>
              <w:t xml:space="preserve">Onboarding overhead is high; small landlords pay enterprise complexity costs</w:t>
            </w:r>
          </w:p>
          <w:p>
            <w:pPr>
              <w:spacing w:after="40" w:before="40"/>
              <w:ind w:left="80"/>
              <w:jc w:val="left"/>
            </w:pPr>
            <w:r>
              <w:rPr>
                <w:rFonts w:ascii="Arial" w:cs="Arial" w:eastAsia="Arial" w:hAnsi="Arial"/>
                <w:b/>
                <w:bCs/>
                <w:i w:val="false"/>
                <w:iCs w:val="false"/>
                <w:color w:val="AA0000"/>
                <w:sz w:val="19"/>
                <w:szCs w:val="19"/>
              </w:rPr>
              <w:t xml:space="preserve">✗  </w:t>
            </w:r>
            <w:r>
              <w:rPr>
                <w:rFonts w:ascii="Arial" w:cs="Arial" w:eastAsia="Arial" w:hAnsi="Arial"/>
                <w:b w:val="false"/>
                <w:bCs w:val="false"/>
                <w:i w:val="false"/>
                <w:iCs w:val="false"/>
                <w:color w:val="444444"/>
                <w:sz w:val="19"/>
                <w:szCs w:val="19"/>
              </w:rPr>
              <w:t xml:space="preserve">No safety architecture for maintenance classification or after-hours emergencies</w:t>
            </w:r>
          </w:p>
        </w:tc>
        <w:tc>
          <w:tcPr>
            <w:tcW w:type="dxa" w:w="4680"/>
            <w:tcBorders>
              <w:top w:val="none" w:color="FFFFFF" w:sz="0"/>
              <w:left w:val="none" w:color="FFFFFF" w:sz="0"/>
              <w:bottom w:val="none" w:color="FFFFFF" w:sz="0"/>
              <w:right w:val="none" w:color="FFFFFF" w:sz="0"/>
            </w:tcBorders>
            <w:shd w:fill="F0F7FF" w:val="clear"/>
            <w:tcMar>
              <w:top w:type="dxa" w:w="100"/>
              <w:left w:type="dxa" w:w="160"/>
              <w:bottom w:type="dxa" w:w="100"/>
              <w:right w:type="dxa" w:w="120"/>
            </w:tcMar>
          </w:tcPr>
          <w:p>
            <w:pPr>
              <w:spacing w:after="40" w:before="40"/>
              <w:ind w:left="80"/>
              <w:jc w:val="left"/>
            </w:pPr>
            <w:r>
              <w:rPr>
                <w:rFonts w:ascii="Arial" w:cs="Arial" w:eastAsia="Arial" w:hAnsi="Arial"/>
                <w:b/>
                <w:bCs/>
                <w:i w:val="false"/>
                <w:iCs w:val="false"/>
                <w:color w:val="1A7340"/>
                <w:sz w:val="19"/>
                <w:szCs w:val="19"/>
              </w:rPr>
              <w:t xml:space="preserve">✓  </w:t>
            </w:r>
            <w:r>
              <w:rPr>
                <w:rFonts w:ascii="Arial" w:cs="Arial" w:eastAsia="Arial" w:hAnsi="Arial"/>
                <w:b w:val="false"/>
                <w:bCs w:val="false"/>
                <w:i w:val="false"/>
                <w:iCs w:val="false"/>
                <w:color w:val="1A3A1A"/>
                <w:sz w:val="19"/>
                <w:szCs w:val="19"/>
              </w:rPr>
              <w:t xml:space="preserve">Purpose-built for 5–150 unit portfolios — no bloat, no minimum seat count</w:t>
            </w:r>
          </w:p>
          <w:p>
            <w:pPr>
              <w:spacing w:after="40" w:before="40"/>
              <w:ind w:left="80"/>
              <w:jc w:val="left"/>
            </w:pPr>
            <w:r>
              <w:rPr>
                <w:rFonts w:ascii="Arial" w:cs="Arial" w:eastAsia="Arial" w:hAnsi="Arial"/>
                <w:b/>
                <w:bCs/>
                <w:i w:val="false"/>
                <w:iCs w:val="false"/>
                <w:color w:val="1A7340"/>
                <w:sz w:val="19"/>
                <w:szCs w:val="19"/>
              </w:rPr>
              <w:t xml:space="preserve">✓  </w:t>
            </w:r>
            <w:r>
              <w:rPr>
                <w:rFonts w:ascii="Arial" w:cs="Arial" w:eastAsia="Arial" w:hAnsi="Arial"/>
                <w:b w:val="false"/>
                <w:bCs w:val="false"/>
                <w:i w:val="false"/>
                <w:iCs w:val="false"/>
                <w:color w:val="1A3A1A"/>
                <w:sz w:val="19"/>
                <w:szCs w:val="19"/>
              </w:rPr>
              <w:t xml:space="preserve">Laura forensically analyzes every submitted document before it enters your workflow</w:t>
            </w:r>
          </w:p>
          <w:p>
            <w:pPr>
              <w:spacing w:after="40" w:before="40"/>
              <w:ind w:left="80"/>
              <w:jc w:val="left"/>
            </w:pPr>
            <w:r>
              <w:rPr>
                <w:rFonts w:ascii="Arial" w:cs="Arial" w:eastAsia="Arial" w:hAnsi="Arial"/>
                <w:b/>
                <w:bCs/>
                <w:i w:val="false"/>
                <w:iCs w:val="false"/>
                <w:color w:val="1A7340"/>
                <w:sz w:val="19"/>
                <w:szCs w:val="19"/>
              </w:rPr>
              <w:t xml:space="preserve">✓  </w:t>
            </w:r>
            <w:r>
              <w:rPr>
                <w:rFonts w:ascii="Arial" w:cs="Arial" w:eastAsia="Arial" w:hAnsi="Arial"/>
                <w:b w:val="false"/>
                <w:bCs w:val="false"/>
                <w:i w:val="false"/>
                <w:iCs w:val="false"/>
                <w:color w:val="1A3A1A"/>
                <w:sz w:val="19"/>
                <w:szCs w:val="19"/>
              </w:rPr>
              <w:t xml:space="preserve">Tony handles intake triage and drafts responses — your approval, not the software's guess</w:t>
            </w:r>
          </w:p>
          <w:p>
            <w:pPr>
              <w:spacing w:after="40" w:before="40"/>
              <w:ind w:left="80"/>
              <w:jc w:val="left"/>
            </w:pPr>
            <w:r>
              <w:rPr>
                <w:rFonts w:ascii="Arial" w:cs="Arial" w:eastAsia="Arial" w:hAnsi="Arial"/>
                <w:b/>
                <w:bCs/>
                <w:i w:val="false"/>
                <w:iCs w:val="false"/>
                <w:color w:val="1A7340"/>
                <w:sz w:val="19"/>
                <w:szCs w:val="19"/>
              </w:rPr>
              <w:t xml:space="preserve">✓  </w:t>
            </w:r>
            <w:r>
              <w:rPr>
                <w:rFonts w:ascii="Arial" w:cs="Arial" w:eastAsia="Arial" w:hAnsi="Arial"/>
                <w:b w:val="false"/>
                <w:bCs w:val="false"/>
                <w:i w:val="false"/>
                <w:iCs w:val="false"/>
                <w:color w:val="1A3A1A"/>
                <w:sz w:val="19"/>
                <w:szCs w:val="19"/>
              </w:rPr>
              <w:t xml:space="preserve">No IT setup, no data migration required to get started</w:t>
            </w:r>
          </w:p>
          <w:p>
            <w:pPr>
              <w:spacing w:after="40" w:before="40"/>
              <w:ind w:left="80"/>
              <w:jc w:val="left"/>
            </w:pPr>
            <w:r>
              <w:rPr>
                <w:rFonts w:ascii="Arial" w:cs="Arial" w:eastAsia="Arial" w:hAnsi="Arial"/>
                <w:b/>
                <w:bCs/>
                <w:i w:val="false"/>
                <w:iCs w:val="false"/>
                <w:color w:val="1A7340"/>
                <w:sz w:val="19"/>
                <w:szCs w:val="19"/>
              </w:rPr>
              <w:t xml:space="preserve">✓  </w:t>
            </w:r>
            <w:r>
              <w:rPr>
                <w:rFonts w:ascii="Arial" w:cs="Arial" w:eastAsia="Arial" w:hAnsi="Arial"/>
                <w:b w:val="false"/>
                <w:bCs w:val="false"/>
                <w:i w:val="false"/>
                <w:iCs w:val="false"/>
                <w:color w:val="1A3A1A"/>
                <w:sz w:val="19"/>
                <w:szCs w:val="19"/>
              </w:rPr>
              <w:t xml:space="preserve">Operational memory compounds with every use — gets smarter on your portfolio specifically</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3864"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2</w:t>
            </w:r>
          </w:p>
        </w:tc>
        <w:tc>
          <w:tcPr>
            <w:tcW w:type="dxa" w:w="8760"/>
            <w:tcBorders>
              <w:top w:val="none" w:color="FFFFFF" w:sz="0"/>
              <w:left w:val="none" w:color="FFFFFF" w:sz="0"/>
              <w:bottom w:val="none" w:color="FFFFFF" w:sz="0"/>
              <w:right w:val="none" w:color="FFFFFF" w:sz="0"/>
            </w:tcBorders>
            <w:shd w:fill="2E75B6" w:val="clear"/>
            <w:tcMar>
              <w:top w:type="dxa" w:w="100"/>
              <w:left w:type="dxa" w:w="180"/>
              <w:bottom w:type="dxa" w:w="100"/>
              <w:right w:type="dxa" w:w="120"/>
            </w:tcMar>
            <w:vAlign w:val="center"/>
          </w:tcPr>
          <w:p>
            <w:pPr>
              <w:spacing w:after="0" w:before="0"/>
            </w:pPr>
            <w:r>
              <w:rPr>
                <w:rFonts w:ascii="Arial" w:cs="Arial" w:eastAsia="Arial" w:hAnsi="Arial"/>
                <w:b/>
                <w:bCs/>
                <w:color w:val="FFFFFF"/>
                <w:sz w:val="22"/>
                <w:szCs w:val="22"/>
              </w:rPr>
              <w:t xml:space="preserve">TENANT SCREENING &amp; FRAUD DETECTION — SNAPPT, VERIFAST</w:t>
            </w:r>
          </w:p>
        </w:tc>
      </w:tr>
    </w:tbl>
    <w:p>
      <w:pPr>
        <w:spacing w:after="0" w:before="120"/>
      </w:pPr>
    </w:p>
    <w:tbl>
      <w:tblPr>
        <w:tblW w:type="dxa" w:w="9360"/>
        <w:tblBorders>
          <w:top w:val="single" w:color="D9D9D9" w:sz="4"/>
          <w:left w:val="single" w:color="D9D9D9" w:sz="4"/>
          <w:bottom w:val="single" w:color="D9D9D9" w:sz="4"/>
          <w:right w:val="single" w:color="D9D9D9"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BDD7EE" w:val="clear"/>
            <w:tcMar>
              <w:top w:type="dxa" w:w="80"/>
              <w:left w:type="dxa" w:w="160"/>
              <w:bottom w:type="dxa" w:w="80"/>
              <w:right w:type="dxa" w:w="160"/>
            </w:tcMar>
          </w:tcPr>
          <w:p>
            <w:pPr>
              <w:spacing w:after="0" w:before="0"/>
              <w:jc w:val="left"/>
            </w:pPr>
            <w:r>
              <w:rPr>
                <w:rFonts w:ascii="Arial" w:cs="Arial" w:eastAsia="Arial" w:hAnsi="Arial"/>
                <w:b/>
                <w:bCs/>
                <w:i w:val="false"/>
                <w:iCs w:val="false"/>
                <w:color w:val="1F3864"/>
                <w:sz w:val="22"/>
                <w:szCs w:val="22"/>
              </w:rPr>
              <w:t xml:space="preserve">Snappt / VeriFast</w:t>
            </w:r>
            <w:r>
              <w:rPr>
                <w:rFonts w:ascii="Arial" w:cs="Arial" w:eastAsia="Arial" w:hAnsi="Arial"/>
                <w:b w:val="false"/>
                <w:bCs w:val="false"/>
                <w:i w:val="false"/>
                <w:iCs w:val="false"/>
                <w:color w:val="888888"/>
                <w:sz w:val="20"/>
                <w:szCs w:val="20"/>
              </w:rPr>
              <w:t xml:space="preserve">   |   </w:t>
            </w:r>
            <w:r>
              <w:rPr>
                <w:rFonts w:ascii="Arial" w:cs="Arial" w:eastAsia="Arial" w:hAnsi="Arial"/>
                <w:b w:val="false"/>
                <w:bCs w:val="false"/>
                <w:i/>
                <w:iCs/>
                <w:color w:val="555555"/>
                <w:sz w:val="20"/>
                <w:szCs w:val="20"/>
              </w:rPr>
              <w:t xml:space="preserve">Document fraud detection via algorithmic scoring</w:t>
            </w:r>
          </w:p>
        </w:tc>
      </w:tr>
      <w:tr>
        <w:tc>
          <w:tcPr>
            <w:tcW w:type="dxa" w:w="4680"/>
            <w:tcBorders>
              <w:top w:val="none" w:color="FFFFFF" w:sz="0"/>
              <w:left w:val="none" w:color="FFFFFF" w:sz="0"/>
              <w:bottom w:val="single" w:color="D9D9D9" w:sz="4"/>
              <w:right w:val="single" w:color="D9D9D9" w:sz="4"/>
            </w:tcBorders>
            <w:shd w:fill="F5F5F5" w:val="clear"/>
            <w:tcMar>
              <w:top w:type="dxa" w:w="60"/>
              <w:left w:type="dxa" w:w="160"/>
              <w:bottom w:type="dxa" w:w="60"/>
              <w:right w:type="dxa" w:w="120"/>
            </w:tcMar>
          </w:tcPr>
          <w:p>
            <w:pPr>
              <w:spacing w:after="0" w:before="0"/>
              <w:jc w:val="left"/>
            </w:pPr>
            <w:r>
              <w:rPr>
                <w:rFonts w:ascii="Arial" w:cs="Arial" w:eastAsia="Arial" w:hAnsi="Arial"/>
                <w:b/>
                <w:bCs/>
                <w:i w:val="false"/>
                <w:iCs w:val="false"/>
                <w:color w:val="777777"/>
                <w:sz w:val="18"/>
                <w:szCs w:val="18"/>
              </w:rPr>
              <w:t xml:space="preserve">Their Limitations</w:t>
            </w:r>
          </w:p>
        </w:tc>
        <w:tc>
          <w:tcPr>
            <w:tcW w:type="dxa" w:w="4680"/>
            <w:tcBorders>
              <w:top w:val="none" w:color="FFFFFF" w:sz="0"/>
              <w:left w:val="none" w:color="FFFFFF" w:sz="0"/>
              <w:bottom w:val="single" w:color="D9D9D9" w:sz="4"/>
              <w:right w:val="none" w:color="FFFFFF" w:sz="0"/>
            </w:tcBorders>
            <w:shd w:fill="D5E8F0" w:val="clear"/>
            <w:tcMar>
              <w:top w:type="dxa" w:w="60"/>
              <w:left w:type="dxa" w:w="160"/>
              <w:bottom w:type="dxa" w:w="60"/>
              <w:right w:type="dxa" w:w="120"/>
            </w:tcMar>
          </w:tcPr>
          <w:p>
            <w:pPr>
              <w:spacing w:after="0" w:before="0"/>
              <w:jc w:val="left"/>
            </w:pPr>
            <w:r>
              <w:rPr>
                <w:rFonts w:ascii="Arial" w:cs="Arial" w:eastAsia="Arial" w:hAnsi="Arial"/>
                <w:b/>
                <w:bCs/>
                <w:i w:val="false"/>
                <w:iCs w:val="false"/>
                <w:color w:val="1F3864"/>
                <w:sz w:val="18"/>
                <w:szCs w:val="18"/>
              </w:rPr>
              <w:t xml:space="preserve">PropertyOps AI Advantage</w:t>
            </w:r>
          </w:p>
        </w:tc>
      </w:tr>
      <w:tr>
        <w:tc>
          <w:tcPr>
            <w:tcW w:type="dxa" w:w="4680"/>
            <w:tcBorders>
              <w:top w:val="none" w:color="FFFFFF" w:sz="0"/>
              <w:left w:val="none" w:color="FFFFFF" w:sz="0"/>
              <w:bottom w:val="none" w:color="FFFFFF" w:sz="0"/>
              <w:right w:val="single" w:color="D9D9D9" w:sz="4"/>
            </w:tcBorders>
            <w:shd w:fill="FAFAFA" w:val="clear"/>
            <w:tcMar>
              <w:top w:type="dxa" w:w="100"/>
              <w:left w:type="dxa" w:w="160"/>
              <w:bottom w:type="dxa" w:w="100"/>
              <w:right w:type="dxa" w:w="120"/>
            </w:tcMar>
          </w:tcPr>
          <w:p>
            <w:pPr>
              <w:spacing w:after="40" w:before="40"/>
              <w:ind w:left="80"/>
              <w:jc w:val="left"/>
            </w:pPr>
            <w:r>
              <w:rPr>
                <w:rFonts w:ascii="Arial" w:cs="Arial" w:eastAsia="Arial" w:hAnsi="Arial"/>
                <w:b/>
                <w:bCs/>
                <w:i w:val="false"/>
                <w:iCs w:val="false"/>
                <w:color w:val="AA0000"/>
                <w:sz w:val="19"/>
                <w:szCs w:val="19"/>
              </w:rPr>
              <w:t xml:space="preserve">✗  </w:t>
            </w:r>
            <w:r>
              <w:rPr>
                <w:rFonts w:ascii="Arial" w:cs="Arial" w:eastAsia="Arial" w:hAnsi="Arial"/>
                <w:b w:val="false"/>
                <w:bCs w:val="false"/>
                <w:i w:val="false"/>
                <w:iCs w:val="false"/>
                <w:color w:val="444444"/>
                <w:sz w:val="19"/>
                <w:szCs w:val="19"/>
              </w:rPr>
              <w:t xml:space="preserve">Output is a pass/fail score — no explanation of what was flagged or why</w:t>
            </w:r>
          </w:p>
          <w:p>
            <w:pPr>
              <w:spacing w:after="40" w:before="40"/>
              <w:ind w:left="80"/>
              <w:jc w:val="left"/>
            </w:pPr>
            <w:r>
              <w:rPr>
                <w:rFonts w:ascii="Arial" w:cs="Arial" w:eastAsia="Arial" w:hAnsi="Arial"/>
                <w:b/>
                <w:bCs/>
                <w:i w:val="false"/>
                <w:iCs w:val="false"/>
                <w:color w:val="AA0000"/>
                <w:sz w:val="19"/>
                <w:szCs w:val="19"/>
              </w:rPr>
              <w:t xml:space="preserve">✗  </w:t>
            </w:r>
            <w:r>
              <w:rPr>
                <w:rFonts w:ascii="Arial" w:cs="Arial" w:eastAsia="Arial" w:hAnsi="Arial"/>
                <w:b w:val="false"/>
                <w:bCs w:val="false"/>
                <w:i w:val="false"/>
                <w:iCs w:val="false"/>
                <w:color w:val="444444"/>
                <w:sz w:val="19"/>
                <w:szCs w:val="19"/>
              </w:rPr>
              <w:t xml:space="preserve">Black-box logic creates Fair Housing Act exposure: you can't audit a score you didn't produce</w:t>
            </w:r>
          </w:p>
          <w:p>
            <w:pPr>
              <w:spacing w:after="40" w:before="40"/>
              <w:ind w:left="80"/>
              <w:jc w:val="left"/>
            </w:pPr>
            <w:r>
              <w:rPr>
                <w:rFonts w:ascii="Arial" w:cs="Arial" w:eastAsia="Arial" w:hAnsi="Arial"/>
                <w:b/>
                <w:bCs/>
                <w:i w:val="false"/>
                <w:iCs w:val="false"/>
                <w:color w:val="AA0000"/>
                <w:sz w:val="19"/>
                <w:szCs w:val="19"/>
              </w:rPr>
              <w:t xml:space="preserve">✗  </w:t>
            </w:r>
            <w:r>
              <w:rPr>
                <w:rFonts w:ascii="Arial" w:cs="Arial" w:eastAsia="Arial" w:hAnsi="Arial"/>
                <w:b w:val="false"/>
                <w:bCs w:val="false"/>
                <w:i w:val="false"/>
                <w:iCs w:val="false"/>
                <w:color w:val="444444"/>
                <w:sz w:val="19"/>
                <w:szCs w:val="19"/>
              </w:rPr>
              <w:t xml:space="preserve">Designed as a standalone screening step, not an embedded operational layer</w:t>
            </w:r>
          </w:p>
          <w:p>
            <w:pPr>
              <w:spacing w:after="40" w:before="40"/>
              <w:ind w:left="80"/>
              <w:jc w:val="left"/>
            </w:pPr>
            <w:r>
              <w:rPr>
                <w:rFonts w:ascii="Arial" w:cs="Arial" w:eastAsia="Arial" w:hAnsi="Arial"/>
                <w:b/>
                <w:bCs/>
                <w:i w:val="false"/>
                <w:iCs w:val="false"/>
                <w:color w:val="AA0000"/>
                <w:sz w:val="19"/>
                <w:szCs w:val="19"/>
              </w:rPr>
              <w:t xml:space="preserve">✗  </w:t>
            </w:r>
            <w:r>
              <w:rPr>
                <w:rFonts w:ascii="Arial" w:cs="Arial" w:eastAsia="Arial" w:hAnsi="Arial"/>
                <w:b w:val="false"/>
                <w:bCs w:val="false"/>
                <w:i w:val="false"/>
                <w:iCs w:val="false"/>
                <w:color w:val="444444"/>
                <w:sz w:val="19"/>
                <w:szCs w:val="19"/>
              </w:rPr>
              <w:t xml:space="preserve">Do not integrate with maintenance, communications, or daily management workflows</w:t>
            </w:r>
          </w:p>
          <w:p>
            <w:pPr>
              <w:spacing w:after="40" w:before="40"/>
              <w:ind w:left="80"/>
              <w:jc w:val="left"/>
            </w:pPr>
            <w:r>
              <w:rPr>
                <w:rFonts w:ascii="Arial" w:cs="Arial" w:eastAsia="Arial" w:hAnsi="Arial"/>
                <w:b/>
                <w:bCs/>
                <w:i w:val="false"/>
                <w:iCs w:val="false"/>
                <w:color w:val="AA0000"/>
                <w:sz w:val="19"/>
                <w:szCs w:val="19"/>
              </w:rPr>
              <w:t xml:space="preserve">✗  </w:t>
            </w:r>
            <w:r>
              <w:rPr>
                <w:rFonts w:ascii="Arial" w:cs="Arial" w:eastAsia="Arial" w:hAnsi="Arial"/>
                <w:b w:val="false"/>
                <w:bCs w:val="false"/>
                <w:i w:val="false"/>
                <w:iCs w:val="false"/>
                <w:color w:val="444444"/>
                <w:sz w:val="19"/>
                <w:szCs w:val="19"/>
              </w:rPr>
              <w:t xml:space="preserve">Scoring logic = approval logic, which introduces FCRA Consumer Reporting Agency risk</w:t>
            </w:r>
          </w:p>
        </w:tc>
        <w:tc>
          <w:tcPr>
            <w:tcW w:type="dxa" w:w="4680"/>
            <w:tcBorders>
              <w:top w:val="none" w:color="FFFFFF" w:sz="0"/>
              <w:left w:val="none" w:color="FFFFFF" w:sz="0"/>
              <w:bottom w:val="none" w:color="FFFFFF" w:sz="0"/>
              <w:right w:val="none" w:color="FFFFFF" w:sz="0"/>
            </w:tcBorders>
            <w:shd w:fill="F0F7FF" w:val="clear"/>
            <w:tcMar>
              <w:top w:type="dxa" w:w="100"/>
              <w:left w:type="dxa" w:w="160"/>
              <w:bottom w:type="dxa" w:w="100"/>
              <w:right w:type="dxa" w:w="120"/>
            </w:tcMar>
          </w:tcPr>
          <w:p>
            <w:pPr>
              <w:spacing w:after="40" w:before="40"/>
              <w:ind w:left="80"/>
              <w:jc w:val="left"/>
            </w:pPr>
            <w:r>
              <w:rPr>
                <w:rFonts w:ascii="Arial" w:cs="Arial" w:eastAsia="Arial" w:hAnsi="Arial"/>
                <w:b/>
                <w:bCs/>
                <w:i w:val="false"/>
                <w:iCs w:val="false"/>
                <w:color w:val="1A7340"/>
                <w:sz w:val="19"/>
                <w:szCs w:val="19"/>
              </w:rPr>
              <w:t xml:space="preserve">✓  </w:t>
            </w:r>
            <w:r>
              <w:rPr>
                <w:rFonts w:ascii="Arial" w:cs="Arial" w:eastAsia="Arial" w:hAnsi="Arial"/>
                <w:b w:val="false"/>
                <w:bCs w:val="false"/>
                <w:i w:val="false"/>
                <w:iCs w:val="false"/>
                <w:color w:val="1A3A1A"/>
                <w:sz w:val="19"/>
                <w:szCs w:val="19"/>
              </w:rPr>
              <w:t xml:space="preserve">Laura generates a Document Integrity Report: every flag documented with full reasoning</w:t>
            </w:r>
          </w:p>
          <w:p>
            <w:pPr>
              <w:spacing w:after="40" w:before="40"/>
              <w:ind w:left="80"/>
              <w:jc w:val="left"/>
            </w:pPr>
            <w:r>
              <w:rPr>
                <w:rFonts w:ascii="Arial" w:cs="Arial" w:eastAsia="Arial" w:hAnsi="Arial"/>
                <w:b/>
                <w:bCs/>
                <w:i w:val="false"/>
                <w:iCs w:val="false"/>
                <w:color w:val="1A7340"/>
                <w:sz w:val="19"/>
                <w:szCs w:val="19"/>
              </w:rPr>
              <w:t xml:space="preserve">✓  </w:t>
            </w:r>
            <w:r>
              <w:rPr>
                <w:rFonts w:ascii="Arial" w:cs="Arial" w:eastAsia="Arial" w:hAnsi="Arial"/>
                <w:b w:val="false"/>
                <w:bCs w:val="false"/>
                <w:i w:val="false"/>
                <w:iCs w:val="false"/>
                <w:color w:val="1A3A1A"/>
                <w:sz w:val="19"/>
                <w:szCs w:val="19"/>
              </w:rPr>
              <w:t xml:space="preserve">Forensic-only — Laura never scores, approves, or denies. You make the decision with the evidence</w:t>
            </w:r>
          </w:p>
          <w:p>
            <w:pPr>
              <w:spacing w:after="40" w:before="40"/>
              <w:ind w:left="80"/>
              <w:jc w:val="left"/>
            </w:pPr>
            <w:r>
              <w:rPr>
                <w:rFonts w:ascii="Arial" w:cs="Arial" w:eastAsia="Arial" w:hAnsi="Arial"/>
                <w:b/>
                <w:bCs/>
                <w:i w:val="false"/>
                <w:iCs w:val="false"/>
                <w:color w:val="1A7340"/>
                <w:sz w:val="19"/>
                <w:szCs w:val="19"/>
              </w:rPr>
              <w:t xml:space="preserve">✓  </w:t>
            </w:r>
            <w:r>
              <w:rPr>
                <w:rFonts w:ascii="Arial" w:cs="Arial" w:eastAsia="Arial" w:hAnsi="Arial"/>
                <w:b w:val="false"/>
                <w:bCs w:val="false"/>
                <w:i w:val="false"/>
                <w:iCs w:val="false"/>
                <w:color w:val="1A3A1A"/>
                <w:sz w:val="19"/>
                <w:szCs w:val="19"/>
              </w:rPr>
              <w:t xml:space="preserve">Audit-grade trail means you can defend every leasing decision in a dispute or fair housing inquiry</w:t>
            </w:r>
          </w:p>
          <w:p>
            <w:pPr>
              <w:spacing w:after="40" w:before="40"/>
              <w:ind w:left="80"/>
              <w:jc w:val="left"/>
            </w:pPr>
            <w:r>
              <w:rPr>
                <w:rFonts w:ascii="Arial" w:cs="Arial" w:eastAsia="Arial" w:hAnsi="Arial"/>
                <w:b/>
                <w:bCs/>
                <w:i w:val="false"/>
                <w:iCs w:val="false"/>
                <w:color w:val="1A7340"/>
                <w:sz w:val="19"/>
                <w:szCs w:val="19"/>
              </w:rPr>
              <w:t xml:space="preserve">✓  </w:t>
            </w:r>
            <w:r>
              <w:rPr>
                <w:rFonts w:ascii="Arial" w:cs="Arial" w:eastAsia="Arial" w:hAnsi="Arial"/>
                <w:b w:val="false"/>
                <w:bCs w:val="false"/>
                <w:i w:val="false"/>
                <w:iCs w:val="false"/>
                <w:color w:val="1A3A1A"/>
                <w:sz w:val="19"/>
                <w:szCs w:val="19"/>
              </w:rPr>
              <w:t xml:space="preserve">Seamlessly transitions into Tony's operational layer — one platform, not a patchwork of tools</w:t>
            </w:r>
          </w:p>
          <w:p>
            <w:pPr>
              <w:spacing w:after="40" w:before="40"/>
              <w:ind w:left="80"/>
              <w:jc w:val="left"/>
            </w:pPr>
            <w:r>
              <w:rPr>
                <w:rFonts w:ascii="Arial" w:cs="Arial" w:eastAsia="Arial" w:hAnsi="Arial"/>
                <w:b/>
                <w:bCs/>
                <w:i w:val="false"/>
                <w:iCs w:val="false"/>
                <w:color w:val="1A7340"/>
                <w:sz w:val="19"/>
                <w:szCs w:val="19"/>
              </w:rPr>
              <w:t xml:space="preserve">✓  </w:t>
            </w:r>
            <w:r>
              <w:rPr>
                <w:rFonts w:ascii="Arial" w:cs="Arial" w:eastAsia="Arial" w:hAnsi="Arial"/>
                <w:b w:val="false"/>
                <w:bCs w:val="false"/>
                <w:i w:val="false"/>
                <w:iCs w:val="false"/>
                <w:color w:val="1A3A1A"/>
                <w:sz w:val="19"/>
                <w:szCs w:val="19"/>
              </w:rPr>
              <w:t xml:space="preserve">Structured to avoid CRA classification from inception, with a pre-launch legal opinion gate</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3864"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3</w:t>
            </w:r>
          </w:p>
        </w:tc>
        <w:tc>
          <w:tcPr>
            <w:tcW w:type="dxa" w:w="8760"/>
            <w:tcBorders>
              <w:top w:val="none" w:color="FFFFFF" w:sz="0"/>
              <w:left w:val="none" w:color="FFFFFF" w:sz="0"/>
              <w:bottom w:val="none" w:color="FFFFFF" w:sz="0"/>
              <w:right w:val="none" w:color="FFFFFF" w:sz="0"/>
            </w:tcBorders>
            <w:shd w:fill="2E75B6" w:val="clear"/>
            <w:tcMar>
              <w:top w:type="dxa" w:w="100"/>
              <w:left w:type="dxa" w:w="180"/>
              <w:bottom w:type="dxa" w:w="100"/>
              <w:right w:type="dxa" w:w="120"/>
            </w:tcMar>
            <w:vAlign w:val="center"/>
          </w:tcPr>
          <w:p>
            <w:pPr>
              <w:spacing w:after="0" w:before="0"/>
            </w:pPr>
            <w:r>
              <w:rPr>
                <w:rFonts w:ascii="Arial" w:cs="Arial" w:eastAsia="Arial" w:hAnsi="Arial"/>
                <w:b/>
                <w:bCs/>
                <w:color w:val="FFFFFF"/>
                <w:sz w:val="22"/>
                <w:szCs w:val="22"/>
              </w:rPr>
              <w:t xml:space="preserve">MAINTENANCE COORDINATION SPECIALISTS — LATCHEL, PROPERTY MELD</w:t>
            </w:r>
          </w:p>
        </w:tc>
      </w:tr>
    </w:tbl>
    <w:p>
      <w:pPr>
        <w:spacing w:after="0" w:before="120"/>
      </w:pPr>
    </w:p>
    <w:tbl>
      <w:tblPr>
        <w:tblW w:type="dxa" w:w="9360"/>
        <w:tblBorders>
          <w:top w:val="single" w:color="D9D9D9" w:sz="4"/>
          <w:left w:val="single" w:color="D9D9D9" w:sz="4"/>
          <w:bottom w:val="single" w:color="D9D9D9" w:sz="4"/>
          <w:right w:val="single" w:color="D9D9D9"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BDD7EE" w:val="clear"/>
            <w:tcMar>
              <w:top w:type="dxa" w:w="80"/>
              <w:left w:type="dxa" w:w="160"/>
              <w:bottom w:type="dxa" w:w="80"/>
              <w:right w:type="dxa" w:w="160"/>
            </w:tcMar>
          </w:tcPr>
          <w:p>
            <w:pPr>
              <w:spacing w:after="0" w:before="0"/>
              <w:jc w:val="left"/>
            </w:pPr>
            <w:r>
              <w:rPr>
                <w:rFonts w:ascii="Arial" w:cs="Arial" w:eastAsia="Arial" w:hAnsi="Arial"/>
                <w:b/>
                <w:bCs/>
                <w:i w:val="false"/>
                <w:iCs w:val="false"/>
                <w:color w:val="1F3864"/>
                <w:sz w:val="22"/>
                <w:szCs w:val="22"/>
              </w:rPr>
              <w:t xml:space="preserve">Latchel / Property Meld</w:t>
            </w:r>
            <w:r>
              <w:rPr>
                <w:rFonts w:ascii="Arial" w:cs="Arial" w:eastAsia="Arial" w:hAnsi="Arial"/>
                <w:b w:val="false"/>
                <w:bCs w:val="false"/>
                <w:i w:val="false"/>
                <w:iCs w:val="false"/>
                <w:color w:val="888888"/>
                <w:sz w:val="20"/>
                <w:szCs w:val="20"/>
              </w:rPr>
              <w:t xml:space="preserve">   |   </w:t>
            </w:r>
            <w:r>
              <w:rPr>
                <w:rFonts w:ascii="Arial" w:cs="Arial" w:eastAsia="Arial" w:hAnsi="Arial"/>
                <w:b w:val="false"/>
                <w:bCs w:val="false"/>
                <w:i/>
                <w:iCs/>
                <w:color w:val="555555"/>
                <w:sz w:val="20"/>
                <w:szCs w:val="20"/>
              </w:rPr>
              <w:t xml:space="preserve">Dedicated maintenance coordination and resident messaging</w:t>
            </w:r>
          </w:p>
        </w:tc>
      </w:tr>
      <w:tr>
        <w:tc>
          <w:tcPr>
            <w:tcW w:type="dxa" w:w="4680"/>
            <w:tcBorders>
              <w:top w:val="none" w:color="FFFFFF" w:sz="0"/>
              <w:left w:val="none" w:color="FFFFFF" w:sz="0"/>
              <w:bottom w:val="single" w:color="D9D9D9" w:sz="4"/>
              <w:right w:val="single" w:color="D9D9D9" w:sz="4"/>
            </w:tcBorders>
            <w:shd w:fill="F5F5F5" w:val="clear"/>
            <w:tcMar>
              <w:top w:type="dxa" w:w="60"/>
              <w:left w:type="dxa" w:w="160"/>
              <w:bottom w:type="dxa" w:w="60"/>
              <w:right w:type="dxa" w:w="120"/>
            </w:tcMar>
          </w:tcPr>
          <w:p>
            <w:pPr>
              <w:spacing w:after="0" w:before="0"/>
              <w:jc w:val="left"/>
            </w:pPr>
            <w:r>
              <w:rPr>
                <w:rFonts w:ascii="Arial" w:cs="Arial" w:eastAsia="Arial" w:hAnsi="Arial"/>
                <w:b/>
                <w:bCs/>
                <w:i w:val="false"/>
                <w:iCs w:val="false"/>
                <w:color w:val="777777"/>
                <w:sz w:val="18"/>
                <w:szCs w:val="18"/>
              </w:rPr>
              <w:t xml:space="preserve">Their Limitations</w:t>
            </w:r>
          </w:p>
        </w:tc>
        <w:tc>
          <w:tcPr>
            <w:tcW w:type="dxa" w:w="4680"/>
            <w:tcBorders>
              <w:top w:val="none" w:color="FFFFFF" w:sz="0"/>
              <w:left w:val="none" w:color="FFFFFF" w:sz="0"/>
              <w:bottom w:val="single" w:color="D9D9D9" w:sz="4"/>
              <w:right w:val="none" w:color="FFFFFF" w:sz="0"/>
            </w:tcBorders>
            <w:shd w:fill="D5E8F0" w:val="clear"/>
            <w:tcMar>
              <w:top w:type="dxa" w:w="60"/>
              <w:left w:type="dxa" w:w="160"/>
              <w:bottom w:type="dxa" w:w="60"/>
              <w:right w:type="dxa" w:w="120"/>
            </w:tcMar>
          </w:tcPr>
          <w:p>
            <w:pPr>
              <w:spacing w:after="0" w:before="0"/>
              <w:jc w:val="left"/>
            </w:pPr>
            <w:r>
              <w:rPr>
                <w:rFonts w:ascii="Arial" w:cs="Arial" w:eastAsia="Arial" w:hAnsi="Arial"/>
                <w:b/>
                <w:bCs/>
                <w:i w:val="false"/>
                <w:iCs w:val="false"/>
                <w:color w:val="1F3864"/>
                <w:sz w:val="18"/>
                <w:szCs w:val="18"/>
              </w:rPr>
              <w:t xml:space="preserve">PropertyOps AI Advantage</w:t>
            </w:r>
          </w:p>
        </w:tc>
      </w:tr>
      <w:tr>
        <w:tc>
          <w:tcPr>
            <w:tcW w:type="dxa" w:w="4680"/>
            <w:tcBorders>
              <w:top w:val="none" w:color="FFFFFF" w:sz="0"/>
              <w:left w:val="none" w:color="FFFFFF" w:sz="0"/>
              <w:bottom w:val="none" w:color="FFFFFF" w:sz="0"/>
              <w:right w:val="single" w:color="D9D9D9" w:sz="4"/>
            </w:tcBorders>
            <w:shd w:fill="FAFAFA" w:val="clear"/>
            <w:tcMar>
              <w:top w:type="dxa" w:w="100"/>
              <w:left w:type="dxa" w:w="160"/>
              <w:bottom w:type="dxa" w:w="100"/>
              <w:right w:type="dxa" w:w="120"/>
            </w:tcMar>
          </w:tcPr>
          <w:p>
            <w:pPr>
              <w:spacing w:after="40" w:before="40"/>
              <w:ind w:left="80"/>
              <w:jc w:val="left"/>
            </w:pPr>
            <w:r>
              <w:rPr>
                <w:rFonts w:ascii="Arial" w:cs="Arial" w:eastAsia="Arial" w:hAnsi="Arial"/>
                <w:b/>
                <w:bCs/>
                <w:i w:val="false"/>
                <w:iCs w:val="false"/>
                <w:color w:val="AA0000"/>
                <w:sz w:val="19"/>
                <w:szCs w:val="19"/>
              </w:rPr>
              <w:t xml:space="preserve">✗  </w:t>
            </w:r>
            <w:r>
              <w:rPr>
                <w:rFonts w:ascii="Arial" w:cs="Arial" w:eastAsia="Arial" w:hAnsi="Arial"/>
                <w:b w:val="false"/>
                <w:bCs w:val="false"/>
                <w:i w:val="false"/>
                <w:iCs w:val="false"/>
                <w:color w:val="444444"/>
                <w:sz w:val="19"/>
                <w:szCs w:val="19"/>
              </w:rPr>
              <w:t xml:space="preserve">Latchel relies on human coordinators for 24/7 coverage — cost structure doesn't work for portfolios under 150 units</w:t>
            </w:r>
          </w:p>
          <w:p>
            <w:pPr>
              <w:spacing w:after="40" w:before="40"/>
              <w:ind w:left="80"/>
              <w:jc w:val="left"/>
            </w:pPr>
            <w:r>
              <w:rPr>
                <w:rFonts w:ascii="Arial" w:cs="Arial" w:eastAsia="Arial" w:hAnsi="Arial"/>
                <w:b/>
                <w:bCs/>
                <w:i w:val="false"/>
                <w:iCs w:val="false"/>
                <w:color w:val="AA0000"/>
                <w:sz w:val="19"/>
                <w:szCs w:val="19"/>
              </w:rPr>
              <w:t xml:space="preserve">✗  </w:t>
            </w:r>
            <w:r>
              <w:rPr>
                <w:rFonts w:ascii="Arial" w:cs="Arial" w:eastAsia="Arial" w:hAnsi="Arial"/>
                <w:b w:val="false"/>
                <w:bCs w:val="false"/>
                <w:i w:val="false"/>
                <w:iCs w:val="false"/>
                <w:color w:val="444444"/>
                <w:sz w:val="19"/>
                <w:szCs w:val="19"/>
              </w:rPr>
              <w:t xml:space="preserve">Property Meld is a ticketing and pipeline tool: it organizes requests but doesn't triage, classify, or draft responses</w:t>
            </w:r>
          </w:p>
          <w:p>
            <w:pPr>
              <w:spacing w:after="40" w:before="40"/>
              <w:ind w:left="80"/>
              <w:jc w:val="left"/>
            </w:pPr>
            <w:r>
              <w:rPr>
                <w:rFonts w:ascii="Arial" w:cs="Arial" w:eastAsia="Arial" w:hAnsi="Arial"/>
                <w:b/>
                <w:bCs/>
                <w:i w:val="false"/>
                <w:iCs w:val="false"/>
                <w:color w:val="AA0000"/>
                <w:sz w:val="19"/>
                <w:szCs w:val="19"/>
              </w:rPr>
              <w:t xml:space="preserve">✗  </w:t>
            </w:r>
            <w:r>
              <w:rPr>
                <w:rFonts w:ascii="Arial" w:cs="Arial" w:eastAsia="Arial" w:hAnsi="Arial"/>
                <w:b w:val="false"/>
                <w:bCs w:val="false"/>
                <w:i w:val="false"/>
                <w:iCs w:val="false"/>
                <w:color w:val="444444"/>
                <w:sz w:val="19"/>
                <w:szCs w:val="19"/>
              </w:rPr>
              <w:t xml:space="preserve">Neither platform has a safety architecture — no deterministic emergency escalation, no hard-stop taxonomy</w:t>
            </w:r>
          </w:p>
          <w:p>
            <w:pPr>
              <w:spacing w:after="40" w:before="40"/>
              <w:ind w:left="80"/>
              <w:jc w:val="left"/>
            </w:pPr>
            <w:r>
              <w:rPr>
                <w:rFonts w:ascii="Arial" w:cs="Arial" w:eastAsia="Arial" w:hAnsi="Arial"/>
                <w:b/>
                <w:bCs/>
                <w:i w:val="false"/>
                <w:iCs w:val="false"/>
                <w:color w:val="AA0000"/>
                <w:sz w:val="19"/>
                <w:szCs w:val="19"/>
              </w:rPr>
              <w:t xml:space="preserve">✗  </w:t>
            </w:r>
            <w:r>
              <w:rPr>
                <w:rFonts w:ascii="Arial" w:cs="Arial" w:eastAsia="Arial" w:hAnsi="Arial"/>
                <w:b w:val="false"/>
                <w:bCs w:val="false"/>
                <w:i w:val="false"/>
                <w:iCs w:val="false"/>
                <w:color w:val="444444"/>
                <w:sz w:val="19"/>
                <w:szCs w:val="19"/>
              </w:rPr>
              <w:t xml:space="preserve">No document integrity layer: they handle maintenance but leave the onboarding fraud risk completely unaddressed</w:t>
            </w:r>
          </w:p>
          <w:p>
            <w:pPr>
              <w:spacing w:after="40" w:before="40"/>
              <w:ind w:left="80"/>
              <w:jc w:val="left"/>
            </w:pPr>
            <w:r>
              <w:rPr>
                <w:rFonts w:ascii="Arial" w:cs="Arial" w:eastAsia="Arial" w:hAnsi="Arial"/>
                <w:b/>
                <w:bCs/>
                <w:i w:val="false"/>
                <w:iCs w:val="false"/>
                <w:color w:val="AA0000"/>
                <w:sz w:val="19"/>
                <w:szCs w:val="19"/>
              </w:rPr>
              <w:t xml:space="preserve">✗  </w:t>
            </w:r>
            <w:r>
              <w:rPr>
                <w:rFonts w:ascii="Arial" w:cs="Arial" w:eastAsia="Arial" w:hAnsi="Arial"/>
                <w:b w:val="false"/>
                <w:bCs w:val="false"/>
                <w:i w:val="false"/>
                <w:iCs w:val="false"/>
                <w:color w:val="444444"/>
                <w:sz w:val="19"/>
                <w:szCs w:val="19"/>
              </w:rPr>
              <w:t xml:space="preserve">Outputs are coordination logs, not audit-grade records — disputed dispatches lack documented reasoning trails</w:t>
            </w:r>
          </w:p>
        </w:tc>
        <w:tc>
          <w:tcPr>
            <w:tcW w:type="dxa" w:w="4680"/>
            <w:tcBorders>
              <w:top w:val="none" w:color="FFFFFF" w:sz="0"/>
              <w:left w:val="none" w:color="FFFFFF" w:sz="0"/>
              <w:bottom w:val="none" w:color="FFFFFF" w:sz="0"/>
              <w:right w:val="none" w:color="FFFFFF" w:sz="0"/>
            </w:tcBorders>
            <w:shd w:fill="F0F7FF" w:val="clear"/>
            <w:tcMar>
              <w:top w:type="dxa" w:w="100"/>
              <w:left w:type="dxa" w:w="160"/>
              <w:bottom w:type="dxa" w:w="100"/>
              <w:right w:type="dxa" w:w="120"/>
            </w:tcMar>
          </w:tcPr>
          <w:p>
            <w:pPr>
              <w:spacing w:after="40" w:before="40"/>
              <w:ind w:left="80"/>
              <w:jc w:val="left"/>
            </w:pPr>
            <w:r>
              <w:rPr>
                <w:rFonts w:ascii="Arial" w:cs="Arial" w:eastAsia="Arial" w:hAnsi="Arial"/>
                <w:b/>
                <w:bCs/>
                <w:i w:val="false"/>
                <w:iCs w:val="false"/>
                <w:color w:val="1A7340"/>
                <w:sz w:val="19"/>
                <w:szCs w:val="19"/>
              </w:rPr>
              <w:t xml:space="preserve">✓  </w:t>
            </w:r>
            <w:r>
              <w:rPr>
                <w:rFonts w:ascii="Arial" w:cs="Arial" w:eastAsia="Arial" w:hAnsi="Arial"/>
                <w:b w:val="false"/>
                <w:bCs w:val="false"/>
                <w:i w:val="false"/>
                <w:iCs w:val="false"/>
                <w:color w:val="1A3A1A"/>
                <w:sz w:val="19"/>
                <w:szCs w:val="19"/>
              </w:rPr>
              <w:t xml:space="preserve">Tony handles triage, drafting, and vendor coordination in one layer — no separate coordination service needed</w:t>
            </w:r>
          </w:p>
          <w:p>
            <w:pPr>
              <w:spacing w:after="40" w:before="40"/>
              <w:ind w:left="80"/>
              <w:jc w:val="left"/>
            </w:pPr>
            <w:r>
              <w:rPr>
                <w:rFonts w:ascii="Arial" w:cs="Arial" w:eastAsia="Arial" w:hAnsi="Arial"/>
                <w:b/>
                <w:bCs/>
                <w:i w:val="false"/>
                <w:iCs w:val="false"/>
                <w:color w:val="1A7340"/>
                <w:sz w:val="19"/>
                <w:szCs w:val="19"/>
              </w:rPr>
              <w:t xml:space="preserve">✓  </w:t>
            </w:r>
            <w:r>
              <w:rPr>
                <w:rFonts w:ascii="Arial" w:cs="Arial" w:eastAsia="Arial" w:hAnsi="Arial"/>
                <w:b w:val="false"/>
                <w:bCs w:val="false"/>
                <w:i w:val="false"/>
                <w:iCs w:val="false"/>
                <w:color w:val="1A3A1A"/>
                <w:sz w:val="19"/>
                <w:szCs w:val="19"/>
              </w:rPr>
              <w:t xml:space="preserve">Built-in two-stage triage ensures Tony asks structured follow-up questions before advancing any work order</w:t>
            </w:r>
          </w:p>
          <w:p>
            <w:pPr>
              <w:spacing w:after="40" w:before="40"/>
              <w:ind w:left="80"/>
              <w:jc w:val="left"/>
            </w:pPr>
            <w:r>
              <w:rPr>
                <w:rFonts w:ascii="Arial" w:cs="Arial" w:eastAsia="Arial" w:hAnsi="Arial"/>
                <w:b/>
                <w:bCs/>
                <w:i w:val="false"/>
                <w:iCs w:val="false"/>
                <w:color w:val="1A7340"/>
                <w:sz w:val="19"/>
                <w:szCs w:val="19"/>
              </w:rPr>
              <w:t xml:space="preserve">✓  </w:t>
            </w:r>
            <w:r>
              <w:rPr>
                <w:rFonts w:ascii="Arial" w:cs="Arial" w:eastAsia="Arial" w:hAnsi="Arial"/>
                <w:b w:val="false"/>
                <w:bCs w:val="false"/>
                <w:i w:val="false"/>
                <w:iCs w:val="false"/>
                <w:color w:val="1A3A1A"/>
                <w:sz w:val="19"/>
                <w:szCs w:val="19"/>
              </w:rPr>
              <w:t xml:space="preserve">Deterministic hard-stop taxonomy supersedes all classification logic for fire, flood, gas, and structural emergencies</w:t>
            </w:r>
          </w:p>
          <w:p>
            <w:pPr>
              <w:spacing w:after="40" w:before="40"/>
              <w:ind w:left="80"/>
              <w:jc w:val="left"/>
            </w:pPr>
            <w:r>
              <w:rPr>
                <w:rFonts w:ascii="Arial" w:cs="Arial" w:eastAsia="Arial" w:hAnsi="Arial"/>
                <w:b/>
                <w:bCs/>
                <w:i w:val="false"/>
                <w:iCs w:val="false"/>
                <w:color w:val="1A7340"/>
                <w:sz w:val="19"/>
                <w:szCs w:val="19"/>
              </w:rPr>
              <w:t xml:space="preserve">✓  </w:t>
            </w:r>
            <w:r>
              <w:rPr>
                <w:rFonts w:ascii="Arial" w:cs="Arial" w:eastAsia="Arial" w:hAnsi="Arial"/>
                <w:b w:val="false"/>
                <w:bCs w:val="false"/>
                <w:i w:val="false"/>
                <w:iCs w:val="false"/>
                <w:color w:val="1A3A1A"/>
                <w:sz w:val="19"/>
                <w:szCs w:val="19"/>
              </w:rPr>
              <w:t xml:space="preserve">Every Tony action — draft, approval, dispatch — is timestamped and logged with full reasoning</w:t>
            </w:r>
          </w:p>
          <w:p>
            <w:pPr>
              <w:spacing w:after="40" w:before="40"/>
              <w:ind w:left="80"/>
              <w:jc w:val="left"/>
            </w:pPr>
            <w:r>
              <w:rPr>
                <w:rFonts w:ascii="Arial" w:cs="Arial" w:eastAsia="Arial" w:hAnsi="Arial"/>
                <w:b/>
                <w:bCs/>
                <w:i w:val="false"/>
                <w:iCs w:val="false"/>
                <w:color w:val="1A7340"/>
                <w:sz w:val="19"/>
                <w:szCs w:val="19"/>
              </w:rPr>
              <w:t xml:space="preserve">✓  </w:t>
            </w:r>
            <w:r>
              <w:rPr>
                <w:rFonts w:ascii="Arial" w:cs="Arial" w:eastAsia="Arial" w:hAnsi="Arial"/>
                <w:b w:val="false"/>
                <w:bCs w:val="false"/>
                <w:i w:val="false"/>
                <w:iCs w:val="false"/>
                <w:color w:val="1A3A1A"/>
                <w:sz w:val="19"/>
                <w:szCs w:val="19"/>
              </w:rPr>
              <w:t xml:space="preserve">Laura and Tony share a single platform: your onboarding protection and operational layer are unified, not bolted together</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3864"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4</w:t>
            </w:r>
          </w:p>
        </w:tc>
        <w:tc>
          <w:tcPr>
            <w:tcW w:type="dxa" w:w="8760"/>
            <w:tcBorders>
              <w:top w:val="none" w:color="FFFFFF" w:sz="0"/>
              <w:left w:val="none" w:color="FFFFFF" w:sz="0"/>
              <w:bottom w:val="none" w:color="FFFFFF" w:sz="0"/>
              <w:right w:val="none" w:color="FFFFFF" w:sz="0"/>
            </w:tcBorders>
            <w:shd w:fill="2E75B6" w:val="clear"/>
            <w:tcMar>
              <w:top w:type="dxa" w:w="100"/>
              <w:left w:type="dxa" w:w="180"/>
              <w:bottom w:type="dxa" w:w="100"/>
              <w:right w:type="dxa" w:w="120"/>
            </w:tcMar>
            <w:vAlign w:val="center"/>
          </w:tcPr>
          <w:p>
            <w:pPr>
              <w:spacing w:after="0" w:before="0"/>
            </w:pPr>
            <w:r>
              <w:rPr>
                <w:rFonts w:ascii="Arial" w:cs="Arial" w:eastAsia="Arial" w:hAnsi="Arial"/>
                <w:b/>
                <w:bCs/>
                <w:color w:val="FFFFFF"/>
                <w:sz w:val="22"/>
                <w:szCs w:val="22"/>
              </w:rPr>
              <w:t xml:space="preserve">AI MAINTENANCE DISPATCHERS &amp; CALL CENTERS</w:t>
            </w:r>
          </w:p>
        </w:tc>
      </w:tr>
    </w:tbl>
    <w:p>
      <w:pPr>
        <w:spacing w:after="0" w:before="120"/>
      </w:pPr>
    </w:p>
    <w:tbl>
      <w:tblPr>
        <w:tblW w:type="dxa" w:w="9360"/>
        <w:tblBorders>
          <w:top w:val="single" w:color="D9D9D9" w:sz="4"/>
          <w:left w:val="single" w:color="D9D9D9" w:sz="4"/>
          <w:bottom w:val="single" w:color="D9D9D9" w:sz="4"/>
          <w:right w:val="single" w:color="D9D9D9"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BDD7EE" w:val="clear"/>
            <w:tcMar>
              <w:top w:type="dxa" w:w="80"/>
              <w:left w:type="dxa" w:w="160"/>
              <w:bottom w:type="dxa" w:w="80"/>
              <w:right w:type="dxa" w:w="160"/>
            </w:tcMar>
          </w:tcPr>
          <w:p>
            <w:pPr>
              <w:spacing w:after="0" w:before="0"/>
              <w:jc w:val="left"/>
            </w:pPr>
            <w:r>
              <w:rPr>
                <w:rFonts w:ascii="Arial" w:cs="Arial" w:eastAsia="Arial" w:hAnsi="Arial"/>
                <w:b/>
                <w:bCs/>
                <w:i w:val="false"/>
                <w:iCs w:val="false"/>
                <w:color w:val="1F3864"/>
                <w:sz w:val="22"/>
                <w:szCs w:val="22"/>
              </w:rPr>
              <w:t xml:space="preserve">AI Maintenance Dispatchers / Human Call Centers</w:t>
            </w:r>
            <w:r>
              <w:rPr>
                <w:rFonts w:ascii="Arial" w:cs="Arial" w:eastAsia="Arial" w:hAnsi="Arial"/>
                <w:b w:val="false"/>
                <w:bCs w:val="false"/>
                <w:i w:val="false"/>
                <w:iCs w:val="false"/>
                <w:color w:val="888888"/>
                <w:sz w:val="20"/>
                <w:szCs w:val="20"/>
              </w:rPr>
              <w:t xml:space="preserve">   |   </w:t>
            </w:r>
            <w:r>
              <w:rPr>
                <w:rFonts w:ascii="Arial" w:cs="Arial" w:eastAsia="Arial" w:hAnsi="Arial"/>
                <w:b w:val="false"/>
                <w:bCs w:val="false"/>
                <w:i/>
                <w:iCs/>
                <w:color w:val="555555"/>
                <w:sz w:val="20"/>
                <w:szCs w:val="20"/>
              </w:rPr>
              <w:t xml:space="preserve">Maintenance triage via automation or outsourced staff</w:t>
            </w:r>
          </w:p>
        </w:tc>
      </w:tr>
      <w:tr>
        <w:tc>
          <w:tcPr>
            <w:tcW w:type="dxa" w:w="4680"/>
            <w:tcBorders>
              <w:top w:val="none" w:color="FFFFFF" w:sz="0"/>
              <w:left w:val="none" w:color="FFFFFF" w:sz="0"/>
              <w:bottom w:val="single" w:color="D9D9D9" w:sz="4"/>
              <w:right w:val="single" w:color="D9D9D9" w:sz="4"/>
            </w:tcBorders>
            <w:shd w:fill="F5F5F5" w:val="clear"/>
            <w:tcMar>
              <w:top w:type="dxa" w:w="60"/>
              <w:left w:type="dxa" w:w="160"/>
              <w:bottom w:type="dxa" w:w="60"/>
              <w:right w:type="dxa" w:w="120"/>
            </w:tcMar>
          </w:tcPr>
          <w:p>
            <w:pPr>
              <w:spacing w:after="0" w:before="0"/>
              <w:jc w:val="left"/>
            </w:pPr>
            <w:r>
              <w:rPr>
                <w:rFonts w:ascii="Arial" w:cs="Arial" w:eastAsia="Arial" w:hAnsi="Arial"/>
                <w:b/>
                <w:bCs/>
                <w:i w:val="false"/>
                <w:iCs w:val="false"/>
                <w:color w:val="777777"/>
                <w:sz w:val="18"/>
                <w:szCs w:val="18"/>
              </w:rPr>
              <w:t xml:space="preserve">Their Limitations</w:t>
            </w:r>
          </w:p>
        </w:tc>
        <w:tc>
          <w:tcPr>
            <w:tcW w:type="dxa" w:w="4680"/>
            <w:tcBorders>
              <w:top w:val="none" w:color="FFFFFF" w:sz="0"/>
              <w:left w:val="none" w:color="FFFFFF" w:sz="0"/>
              <w:bottom w:val="single" w:color="D9D9D9" w:sz="4"/>
              <w:right w:val="none" w:color="FFFFFF" w:sz="0"/>
            </w:tcBorders>
            <w:shd w:fill="D5E8F0" w:val="clear"/>
            <w:tcMar>
              <w:top w:type="dxa" w:w="60"/>
              <w:left w:type="dxa" w:w="160"/>
              <w:bottom w:type="dxa" w:w="60"/>
              <w:right w:type="dxa" w:w="120"/>
            </w:tcMar>
          </w:tcPr>
          <w:p>
            <w:pPr>
              <w:spacing w:after="0" w:before="0"/>
              <w:jc w:val="left"/>
            </w:pPr>
            <w:r>
              <w:rPr>
                <w:rFonts w:ascii="Arial" w:cs="Arial" w:eastAsia="Arial" w:hAnsi="Arial"/>
                <w:b/>
                <w:bCs/>
                <w:i w:val="false"/>
                <w:iCs w:val="false"/>
                <w:color w:val="1F3864"/>
                <w:sz w:val="18"/>
                <w:szCs w:val="18"/>
              </w:rPr>
              <w:t xml:space="preserve">PropertyOps AI Advantage</w:t>
            </w:r>
          </w:p>
        </w:tc>
      </w:tr>
      <w:tr>
        <w:tc>
          <w:tcPr>
            <w:tcW w:type="dxa" w:w="4680"/>
            <w:tcBorders>
              <w:top w:val="none" w:color="FFFFFF" w:sz="0"/>
              <w:left w:val="none" w:color="FFFFFF" w:sz="0"/>
              <w:bottom w:val="none" w:color="FFFFFF" w:sz="0"/>
              <w:right w:val="single" w:color="D9D9D9" w:sz="4"/>
            </w:tcBorders>
            <w:shd w:fill="FAFAFA" w:val="clear"/>
            <w:tcMar>
              <w:top w:type="dxa" w:w="100"/>
              <w:left w:type="dxa" w:w="160"/>
              <w:bottom w:type="dxa" w:w="100"/>
              <w:right w:type="dxa" w:w="120"/>
            </w:tcMar>
          </w:tcPr>
          <w:p>
            <w:pPr>
              <w:spacing w:after="40" w:before="40"/>
              <w:ind w:left="80"/>
              <w:jc w:val="left"/>
            </w:pPr>
            <w:r>
              <w:rPr>
                <w:rFonts w:ascii="Arial" w:cs="Arial" w:eastAsia="Arial" w:hAnsi="Arial"/>
                <w:b/>
                <w:bCs/>
                <w:i w:val="false"/>
                <w:iCs w:val="false"/>
                <w:color w:val="AA0000"/>
                <w:sz w:val="19"/>
                <w:szCs w:val="19"/>
              </w:rPr>
              <w:t xml:space="preserve">✗  </w:t>
            </w:r>
            <w:r>
              <w:rPr>
                <w:rFonts w:ascii="Arial" w:cs="Arial" w:eastAsia="Arial" w:hAnsi="Arial"/>
                <w:b w:val="false"/>
                <w:bCs w:val="false"/>
                <w:i w:val="false"/>
                <w:iCs w:val="false"/>
                <w:color w:val="444444"/>
                <w:sz w:val="19"/>
                <w:szCs w:val="19"/>
              </w:rPr>
              <w:t xml:space="preserve">AI dispatchers often act on a single tenant message — no structured safety follow-up</w:t>
            </w:r>
          </w:p>
          <w:p>
            <w:pPr>
              <w:spacing w:after="40" w:before="40"/>
              <w:ind w:left="80"/>
              <w:jc w:val="left"/>
            </w:pPr>
            <w:r>
              <w:rPr>
                <w:rFonts w:ascii="Arial" w:cs="Arial" w:eastAsia="Arial" w:hAnsi="Arial"/>
                <w:b/>
                <w:bCs/>
                <w:i w:val="false"/>
                <w:iCs w:val="false"/>
                <w:color w:val="AA0000"/>
                <w:sz w:val="19"/>
                <w:szCs w:val="19"/>
              </w:rPr>
              <w:t xml:space="preserve">✗  </w:t>
            </w:r>
            <w:r>
              <w:rPr>
                <w:rFonts w:ascii="Arial" w:cs="Arial" w:eastAsia="Arial" w:hAnsi="Arial"/>
                <w:b w:val="false"/>
                <w:bCs w:val="false"/>
                <w:i w:val="false"/>
                <w:iCs w:val="false"/>
                <w:color w:val="444444"/>
                <w:sz w:val="19"/>
                <w:szCs w:val="19"/>
              </w:rPr>
              <w:t xml:space="preserve">Emergency misclassification risk is real: a "no heat" text is not always a non-emergency</w:t>
            </w:r>
          </w:p>
          <w:p>
            <w:pPr>
              <w:spacing w:after="40" w:before="40"/>
              <w:ind w:left="80"/>
              <w:jc w:val="left"/>
            </w:pPr>
            <w:r>
              <w:rPr>
                <w:rFonts w:ascii="Arial" w:cs="Arial" w:eastAsia="Arial" w:hAnsi="Arial"/>
                <w:b/>
                <w:bCs/>
                <w:i w:val="false"/>
                <w:iCs w:val="false"/>
                <w:color w:val="AA0000"/>
                <w:sz w:val="19"/>
                <w:szCs w:val="19"/>
              </w:rPr>
              <w:t xml:space="preserve">✗  </w:t>
            </w:r>
            <w:r>
              <w:rPr>
                <w:rFonts w:ascii="Arial" w:cs="Arial" w:eastAsia="Arial" w:hAnsi="Arial"/>
                <w:b w:val="false"/>
                <w:bCs w:val="false"/>
                <w:i w:val="false"/>
                <w:iCs w:val="false"/>
                <w:color w:val="444444"/>
                <w:sz w:val="19"/>
                <w:szCs w:val="19"/>
              </w:rPr>
              <w:t xml:space="preserve">Human call centers are cost-prohibitive for portfolios under 150 units</w:t>
            </w:r>
          </w:p>
          <w:p>
            <w:pPr>
              <w:spacing w:after="40" w:before="40"/>
              <w:ind w:left="80"/>
              <w:jc w:val="left"/>
            </w:pPr>
            <w:r>
              <w:rPr>
                <w:rFonts w:ascii="Arial" w:cs="Arial" w:eastAsia="Arial" w:hAnsi="Arial"/>
                <w:b/>
                <w:bCs/>
                <w:i w:val="false"/>
                <w:iCs w:val="false"/>
                <w:color w:val="AA0000"/>
                <w:sz w:val="19"/>
                <w:szCs w:val="19"/>
              </w:rPr>
              <w:t xml:space="preserve">✗  </w:t>
            </w:r>
            <w:r>
              <w:rPr>
                <w:rFonts w:ascii="Arial" w:cs="Arial" w:eastAsia="Arial" w:hAnsi="Arial"/>
                <w:b w:val="false"/>
                <w:bCs w:val="false"/>
                <w:i w:val="false"/>
                <w:iCs w:val="false"/>
                <w:color w:val="444444"/>
                <w:sz w:val="19"/>
                <w:szCs w:val="19"/>
              </w:rPr>
              <w:t xml:space="preserve">No audit trail on dispatch decisions — disputed calls leave you with no documentation</w:t>
            </w:r>
          </w:p>
          <w:p>
            <w:pPr>
              <w:spacing w:after="40" w:before="40"/>
              <w:ind w:left="80"/>
              <w:jc w:val="left"/>
            </w:pPr>
            <w:r>
              <w:rPr>
                <w:rFonts w:ascii="Arial" w:cs="Arial" w:eastAsia="Arial" w:hAnsi="Arial"/>
                <w:b/>
                <w:bCs/>
                <w:i w:val="false"/>
                <w:iCs w:val="false"/>
                <w:color w:val="AA0000"/>
                <w:sz w:val="19"/>
                <w:szCs w:val="19"/>
              </w:rPr>
              <w:t xml:space="preserve">✗  </w:t>
            </w:r>
            <w:r>
              <w:rPr>
                <w:rFonts w:ascii="Arial" w:cs="Arial" w:eastAsia="Arial" w:hAnsi="Arial"/>
                <w:b w:val="false"/>
                <w:bCs w:val="false"/>
                <w:i w:val="false"/>
                <w:iCs w:val="false"/>
                <w:color w:val="444444"/>
                <w:sz w:val="19"/>
                <w:szCs w:val="19"/>
              </w:rPr>
              <w:t xml:space="preserve">Automation bias: landlords rubber-stamp outputs because the interface makes it easy</w:t>
            </w:r>
          </w:p>
        </w:tc>
        <w:tc>
          <w:tcPr>
            <w:tcW w:type="dxa" w:w="4680"/>
            <w:tcBorders>
              <w:top w:val="none" w:color="FFFFFF" w:sz="0"/>
              <w:left w:val="none" w:color="FFFFFF" w:sz="0"/>
              <w:bottom w:val="none" w:color="FFFFFF" w:sz="0"/>
              <w:right w:val="none" w:color="FFFFFF" w:sz="0"/>
            </w:tcBorders>
            <w:shd w:fill="F0F7FF" w:val="clear"/>
            <w:tcMar>
              <w:top w:type="dxa" w:w="100"/>
              <w:left w:type="dxa" w:w="160"/>
              <w:bottom w:type="dxa" w:w="100"/>
              <w:right w:type="dxa" w:w="120"/>
            </w:tcMar>
          </w:tcPr>
          <w:p>
            <w:pPr>
              <w:spacing w:after="40" w:before="40"/>
              <w:ind w:left="80"/>
              <w:jc w:val="left"/>
            </w:pPr>
            <w:r>
              <w:rPr>
                <w:rFonts w:ascii="Arial" w:cs="Arial" w:eastAsia="Arial" w:hAnsi="Arial"/>
                <w:b/>
                <w:bCs/>
                <w:i w:val="false"/>
                <w:iCs w:val="false"/>
                <w:color w:val="1A7340"/>
                <w:sz w:val="19"/>
                <w:szCs w:val="19"/>
              </w:rPr>
              <w:t xml:space="preserve">✓  </w:t>
            </w:r>
            <w:r>
              <w:rPr>
                <w:rFonts w:ascii="Arial" w:cs="Arial" w:eastAsia="Arial" w:hAnsi="Arial"/>
                <w:b w:val="false"/>
                <w:bCs w:val="false"/>
                <w:i w:val="false"/>
                <w:iCs w:val="false"/>
                <w:color w:val="1A3A1A"/>
                <w:sz w:val="19"/>
                <w:szCs w:val="19"/>
              </w:rPr>
              <w:t xml:space="preserve">Tony never dispatches on a single message — structured two-stage triage is built in</w:t>
            </w:r>
          </w:p>
          <w:p>
            <w:pPr>
              <w:spacing w:after="40" w:before="40"/>
              <w:ind w:left="80"/>
              <w:jc w:val="left"/>
            </w:pPr>
            <w:r>
              <w:rPr>
                <w:rFonts w:ascii="Arial" w:cs="Arial" w:eastAsia="Arial" w:hAnsi="Arial"/>
                <w:b/>
                <w:bCs/>
                <w:i w:val="false"/>
                <w:iCs w:val="false"/>
                <w:color w:val="1A7340"/>
                <w:sz w:val="19"/>
                <w:szCs w:val="19"/>
              </w:rPr>
              <w:t xml:space="preserve">✓  </w:t>
            </w:r>
            <w:r>
              <w:rPr>
                <w:rFonts w:ascii="Arial" w:cs="Arial" w:eastAsia="Arial" w:hAnsi="Arial"/>
                <w:b w:val="false"/>
                <w:bCs w:val="false"/>
                <w:i w:val="false"/>
                <w:iCs w:val="false"/>
                <w:color w:val="1A3A1A"/>
                <w:sz w:val="19"/>
                <w:szCs w:val="19"/>
              </w:rPr>
              <w:t xml:space="preserve">Deterministic hard-stop taxonomy: fire, flood, gas, sewage, structural breach always escalate to you</w:t>
            </w:r>
          </w:p>
          <w:p>
            <w:pPr>
              <w:spacing w:after="40" w:before="40"/>
              <w:ind w:left="80"/>
              <w:jc w:val="left"/>
            </w:pPr>
            <w:r>
              <w:rPr>
                <w:rFonts w:ascii="Arial" w:cs="Arial" w:eastAsia="Arial" w:hAnsi="Arial"/>
                <w:b/>
                <w:bCs/>
                <w:i w:val="false"/>
                <w:iCs w:val="false"/>
                <w:color w:val="1A7340"/>
                <w:sz w:val="19"/>
                <w:szCs w:val="19"/>
              </w:rPr>
              <w:t xml:space="preserve">✓  </w:t>
            </w:r>
            <w:r>
              <w:rPr>
                <w:rFonts w:ascii="Arial" w:cs="Arial" w:eastAsia="Arial" w:hAnsi="Arial"/>
                <w:b w:val="false"/>
                <w:bCs w:val="false"/>
                <w:i w:val="false"/>
                <w:iCs w:val="false"/>
                <w:color w:val="1A3A1A"/>
                <w:sz w:val="19"/>
                <w:szCs w:val="19"/>
              </w:rPr>
              <w:t xml:space="preserve">After-hours escalation sequence ensures emergencies reach a human or 911 even if you're unreachable</w:t>
            </w:r>
          </w:p>
          <w:p>
            <w:pPr>
              <w:spacing w:after="40" w:before="40"/>
              <w:ind w:left="80"/>
              <w:jc w:val="left"/>
            </w:pPr>
            <w:r>
              <w:rPr>
                <w:rFonts w:ascii="Arial" w:cs="Arial" w:eastAsia="Arial" w:hAnsi="Arial"/>
                <w:b/>
                <w:bCs/>
                <w:i w:val="false"/>
                <w:iCs w:val="false"/>
                <w:color w:val="1A7340"/>
                <w:sz w:val="19"/>
                <w:szCs w:val="19"/>
              </w:rPr>
              <w:t xml:space="preserve">✓  </w:t>
            </w:r>
            <w:r>
              <w:rPr>
                <w:rFonts w:ascii="Arial" w:cs="Arial" w:eastAsia="Arial" w:hAnsi="Arial"/>
                <w:b w:val="false"/>
                <w:bCs w:val="false"/>
                <w:i w:val="false"/>
                <w:iCs w:val="false"/>
                <w:color w:val="1A3A1A"/>
                <w:sz w:val="19"/>
                <w:szCs w:val="19"/>
              </w:rPr>
              <w:t xml:space="preserve">Every draft, approval action, and dispatch event is logged with timestamp and reasoning</w:t>
            </w:r>
          </w:p>
          <w:p>
            <w:pPr>
              <w:spacing w:after="40" w:before="40"/>
              <w:ind w:left="80"/>
              <w:jc w:val="left"/>
            </w:pPr>
            <w:r>
              <w:rPr>
                <w:rFonts w:ascii="Arial" w:cs="Arial" w:eastAsia="Arial" w:hAnsi="Arial"/>
                <w:b/>
                <w:bCs/>
                <w:i w:val="false"/>
                <w:iCs w:val="false"/>
                <w:color w:val="1A7340"/>
                <w:sz w:val="19"/>
                <w:szCs w:val="19"/>
              </w:rPr>
              <w:t xml:space="preserve">✓  </w:t>
            </w:r>
            <w:r>
              <w:rPr>
                <w:rFonts w:ascii="Arial" w:cs="Arial" w:eastAsia="Arial" w:hAnsi="Arial"/>
                <w:b w:val="false"/>
                <w:bCs w:val="false"/>
                <w:i w:val="false"/>
                <w:iCs w:val="false"/>
                <w:color w:val="1A3A1A"/>
                <w:sz w:val="19"/>
                <w:szCs w:val="19"/>
              </w:rPr>
              <w:t xml:space="preserve">Mission Control dashboard enforces forced read-and-confirm for safety-adjacent items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3864"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5</w:t>
            </w:r>
          </w:p>
        </w:tc>
        <w:tc>
          <w:tcPr>
            <w:tcW w:type="dxa" w:w="8760"/>
            <w:tcBorders>
              <w:top w:val="none" w:color="FFFFFF" w:sz="0"/>
              <w:left w:val="none" w:color="FFFFFF" w:sz="0"/>
              <w:bottom w:val="none" w:color="FFFFFF" w:sz="0"/>
              <w:right w:val="none" w:color="FFFFFF" w:sz="0"/>
            </w:tcBorders>
            <w:shd w:fill="2E75B6" w:val="clear"/>
            <w:tcMar>
              <w:top w:type="dxa" w:w="100"/>
              <w:left w:type="dxa" w:w="180"/>
              <w:bottom w:type="dxa" w:w="100"/>
              <w:right w:type="dxa" w:w="120"/>
            </w:tcMar>
            <w:vAlign w:val="center"/>
          </w:tcPr>
          <w:p>
            <w:pPr>
              <w:spacing w:after="0" w:before="0"/>
            </w:pPr>
            <w:r>
              <w:rPr>
                <w:rFonts w:ascii="Arial" w:cs="Arial" w:eastAsia="Arial" w:hAnsi="Arial"/>
                <w:b/>
                <w:bCs/>
                <w:color w:val="FFFFFF"/>
                <w:sz w:val="22"/>
                <w:szCs w:val="22"/>
              </w:rPr>
              <w:t xml:space="preserve">HEAD-TO-HEAD CAPABILITY COMPARISON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rPr>
          <w:tblHeader/>
        </w:trPr>
        <w:tc>
          <w:tcPr>
            <w:tcW w:type="dxa" w:w="2200"/>
            <w:tcBorders>
              <w:top w:val="single" w:color="1F3864" w:sz="6"/>
              <w:left w:val="single" w:color="1F3864" w:sz="6"/>
              <w:bottom w:val="single" w:color="1F3864" w:sz="6"/>
              <w:right w:val="single" w:color="1F3864" w:sz="6"/>
            </w:tcBorders>
            <w:shd w:fill="2E4D7B"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17"/>
                <w:szCs w:val="17"/>
              </w:rPr>
              <w:t xml:space="preserve">Capability</w:t>
            </w:r>
          </w:p>
        </w:tc>
        <w:tc>
          <w:tcPr>
            <w:tcW w:type="dxa" w:w="1790"/>
            <w:tcBorders>
              <w:top w:val="single" w:color="1F3864" w:sz="6"/>
              <w:left w:val="single" w:color="1F3864" w:sz="6"/>
              <w:bottom w:val="single" w:color="1F3864" w:sz="6"/>
              <w:right w:val="single" w:color="1F3864" w:sz="6"/>
            </w:tcBorders>
            <w:shd w:fill="2E4D7B"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17"/>
                <w:szCs w:val="17"/>
              </w:rPr>
              <w:t xml:space="preserve">AppFolio / Buildium</w:t>
            </w:r>
          </w:p>
        </w:tc>
        <w:tc>
          <w:tcPr>
            <w:tcW w:type="dxa" w:w="1790"/>
            <w:tcBorders>
              <w:top w:val="single" w:color="1F3864" w:sz="6"/>
              <w:left w:val="single" w:color="1F3864" w:sz="6"/>
              <w:bottom w:val="single" w:color="1F3864" w:sz="6"/>
              <w:right w:val="single" w:color="1F3864" w:sz="6"/>
            </w:tcBorders>
            <w:shd w:fill="2E4D7B"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17"/>
                <w:szCs w:val="17"/>
              </w:rPr>
              <w:t xml:space="preserve">Snappt / VeriFast</w:t>
            </w:r>
          </w:p>
        </w:tc>
        <w:tc>
          <w:tcPr>
            <w:tcW w:type="dxa" w:w="1790"/>
            <w:tcBorders>
              <w:top w:val="single" w:color="1F3864" w:sz="6"/>
              <w:left w:val="single" w:color="1F3864" w:sz="6"/>
              <w:bottom w:val="single" w:color="1F3864" w:sz="6"/>
              <w:right w:val="single" w:color="1F3864" w:sz="6"/>
            </w:tcBorders>
            <w:shd w:fill="2E4D7B"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17"/>
                <w:szCs w:val="17"/>
              </w:rPr>
              <w:t xml:space="preserve">Latchel / Prop. Meld</w:t>
            </w:r>
          </w:p>
        </w:tc>
        <w:tc>
          <w:tcPr>
            <w:tcW w:type="dxa" w:w="1790"/>
            <w:tcBorders>
              <w:top w:val="single" w:color="1F3864" w:sz="6"/>
              <w:left w:val="single" w:color="1F3864" w:sz="6"/>
              <w:bottom w:val="single" w:color="1F3864" w:sz="6"/>
              <w:right w:val="single" w:color="1F3864" w:sz="6"/>
            </w:tcBorders>
            <w:shd w:fill="1F3864" w:val="clear"/>
            <w:tcMar>
              <w:top w:type="dxa" w:w="80"/>
              <w:left w:type="dxa" w:w="100"/>
              <w:bottom w:type="dxa" w:w="80"/>
              <w:right w:type="dxa" w:w="100"/>
            </w:tcMar>
            <w:vAlign w:val="center"/>
          </w:tcPr>
          <w:p>
            <w:pPr>
              <w:spacing w:after="0" w:before="0"/>
              <w:jc w:val="center"/>
            </w:pPr>
            <w:r>
              <w:rPr>
                <w:rFonts w:ascii="Arial" w:cs="Arial" w:eastAsia="Arial" w:hAnsi="Arial"/>
                <w:b/>
                <w:bCs/>
                <w:color w:val="FFFFFF"/>
                <w:sz w:val="17"/>
                <w:szCs w:val="17"/>
              </w:rPr>
              <w:t xml:space="preserve">PropertyOps AI</w:t>
            </w:r>
          </w:p>
        </w:tc>
      </w:tr>
      <w:tr>
        <w:tc>
          <w:tcPr>
            <w:tcW w:type="dxa" w:w="2200"/>
            <w:tcBorders>
              <w:top w:val="single" w:color="D9D9D9" w:sz="3"/>
              <w:left w:val="single" w:color="D9D9D9" w:sz="3"/>
              <w:bottom w:val="single" w:color="D9D9D9" w:sz="3"/>
              <w:right w:val="single" w:color="D9D9D9" w:sz="3"/>
            </w:tcBorders>
            <w:shd w:fill="F0F0F0" w:val="clear"/>
            <w:tcMar>
              <w:top w:type="dxa" w:w="60"/>
              <w:left w:type="dxa" w:w="100"/>
              <w:bottom w:type="dxa" w:w="60"/>
              <w:right w:type="dxa" w:w="100"/>
            </w:tcMar>
            <w:vAlign w:val="center"/>
          </w:tcPr>
          <w:p>
            <w:pPr>
              <w:spacing w:after="0" w:before="0"/>
              <w:jc w:val="left"/>
            </w:pPr>
            <w:r>
              <w:rPr>
                <w:rFonts w:ascii="Arial" w:cs="Arial" w:eastAsia="Arial" w:hAnsi="Arial"/>
                <w:b/>
                <w:bCs/>
                <w:color w:val="1F3864"/>
                <w:sz w:val="17"/>
                <w:szCs w:val="17"/>
              </w:rPr>
              <w:t xml:space="preserve">Document Fraud Detection</w:t>
            </w:r>
          </w:p>
        </w:tc>
        <w:tc>
          <w:tcPr>
            <w:tcW w:type="dxa" w:w="1790"/>
            <w:tcBorders>
              <w:top w:val="single" w:color="D9D9D9" w:sz="3"/>
              <w:left w:val="single" w:color="D9D9D9" w:sz="3"/>
              <w:bottom w:val="single" w:color="D9D9D9" w:sz="3"/>
              <w:right w:val="single" w:color="D9D9D9" w:sz="3"/>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AA0000"/>
                <w:sz w:val="17"/>
                <w:szCs w:val="17"/>
              </w:rPr>
              <w:t xml:space="preserve">✗ Manual review only</w:t>
            </w:r>
          </w:p>
        </w:tc>
        <w:tc>
          <w:tcPr>
            <w:tcW w:type="dxa" w:w="1790"/>
            <w:tcBorders>
              <w:top w:val="single" w:color="D9D9D9" w:sz="3"/>
              <w:left w:val="single" w:color="D9D9D9" w:sz="3"/>
              <w:bottom w:val="single" w:color="D9D9D9" w:sz="3"/>
              <w:right w:val="single" w:color="D9D9D9" w:sz="3"/>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7"/>
                <w:szCs w:val="17"/>
              </w:rPr>
              <w:t xml:space="preserve">Partial — score only</w:t>
            </w:r>
          </w:p>
        </w:tc>
        <w:tc>
          <w:tcPr>
            <w:tcW w:type="dxa" w:w="1790"/>
            <w:tcBorders>
              <w:top w:val="single" w:color="D9D9D9" w:sz="3"/>
              <w:left w:val="single" w:color="D9D9D9" w:sz="3"/>
              <w:bottom w:val="single" w:color="D9D9D9" w:sz="3"/>
              <w:right w:val="single" w:color="D9D9D9" w:sz="3"/>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AA0000"/>
                <w:sz w:val="17"/>
                <w:szCs w:val="17"/>
              </w:rPr>
              <w:t xml:space="preserve">✗ Not offered</w:t>
            </w:r>
          </w:p>
        </w:tc>
        <w:tc>
          <w:tcPr>
            <w:tcW w:type="dxa" w:w="1790"/>
            <w:tcBorders>
              <w:top w:val="single" w:color="D9D9D9" w:sz="3"/>
              <w:left w:val="single" w:color="D9D9D9" w:sz="3"/>
              <w:bottom w:val="single" w:color="D9D9D9" w:sz="3"/>
              <w:right w:val="single" w:color="D9D9D9" w:sz="3"/>
            </w:tcBorders>
            <w:shd w:fill="E8F4FF" w:val="clear"/>
            <w:tcMar>
              <w:top w:type="dxa" w:w="60"/>
              <w:left w:type="dxa" w:w="100"/>
              <w:bottom w:type="dxa" w:w="60"/>
              <w:right w:type="dxa" w:w="100"/>
            </w:tcMar>
            <w:vAlign w:val="center"/>
          </w:tcPr>
          <w:p>
            <w:pPr>
              <w:spacing w:after="0" w:before="0"/>
              <w:jc w:val="center"/>
            </w:pPr>
            <w:r>
              <w:rPr>
                <w:rFonts w:ascii="Arial" w:cs="Arial" w:eastAsia="Arial" w:hAnsi="Arial"/>
                <w:b/>
                <w:bCs/>
                <w:color w:val="1A5C2A"/>
                <w:sz w:val="17"/>
                <w:szCs w:val="17"/>
              </w:rPr>
              <w:t xml:space="preserve">✓ Forensic anomaly logs</w:t>
            </w:r>
          </w:p>
        </w:tc>
      </w:tr>
      <w:tr>
        <w:tc>
          <w:tcPr>
            <w:tcW w:type="dxa" w:w="2200"/>
            <w:tcBorders>
              <w:top w:val="single" w:color="D9D9D9" w:sz="3"/>
              <w:left w:val="single" w:color="D9D9D9" w:sz="3"/>
              <w:bottom w:val="single" w:color="D9D9D9" w:sz="3"/>
              <w:right w:val="single" w:color="D9D9D9" w:sz="3"/>
            </w:tcBorders>
            <w:shd w:fill="F5F5F5" w:val="clear"/>
            <w:tcMar>
              <w:top w:type="dxa" w:w="60"/>
              <w:left w:type="dxa" w:w="100"/>
              <w:bottom w:type="dxa" w:w="60"/>
              <w:right w:type="dxa" w:w="100"/>
            </w:tcMar>
            <w:vAlign w:val="center"/>
          </w:tcPr>
          <w:p>
            <w:pPr>
              <w:spacing w:after="0" w:before="0"/>
              <w:jc w:val="left"/>
            </w:pPr>
            <w:r>
              <w:rPr>
                <w:rFonts w:ascii="Arial" w:cs="Arial" w:eastAsia="Arial" w:hAnsi="Arial"/>
                <w:b/>
                <w:bCs/>
                <w:color w:val="1F3864"/>
                <w:sz w:val="17"/>
                <w:szCs w:val="17"/>
              </w:rPr>
              <w:t xml:space="preserve">Audit-Grade Transparency</w:t>
            </w:r>
          </w:p>
        </w:tc>
        <w:tc>
          <w:tcPr>
            <w:tcW w:type="dxa" w:w="1790"/>
            <w:tcBorders>
              <w:top w:val="single" w:color="D9D9D9" w:sz="3"/>
              <w:left w:val="single" w:color="D9D9D9" w:sz="3"/>
              <w:bottom w:val="single" w:color="D9D9D9" w:sz="3"/>
              <w:right w:val="single" w:color="D9D9D9" w:sz="3"/>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AA0000"/>
                <w:sz w:val="17"/>
                <w:szCs w:val="17"/>
              </w:rPr>
              <w:t xml:space="preserve">✗ No reasoning trail</w:t>
            </w:r>
          </w:p>
        </w:tc>
        <w:tc>
          <w:tcPr>
            <w:tcW w:type="dxa" w:w="1790"/>
            <w:tcBorders>
              <w:top w:val="single" w:color="D9D9D9" w:sz="3"/>
              <w:left w:val="single" w:color="D9D9D9" w:sz="3"/>
              <w:bottom w:val="single" w:color="D9D9D9" w:sz="3"/>
              <w:right w:val="single" w:color="D9D9D9" w:sz="3"/>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AA0000"/>
                <w:sz w:val="17"/>
                <w:szCs w:val="17"/>
              </w:rPr>
              <w:t xml:space="preserve">✗ Black-box output</w:t>
            </w:r>
          </w:p>
        </w:tc>
        <w:tc>
          <w:tcPr>
            <w:tcW w:type="dxa" w:w="1790"/>
            <w:tcBorders>
              <w:top w:val="single" w:color="D9D9D9" w:sz="3"/>
              <w:left w:val="single" w:color="D9D9D9" w:sz="3"/>
              <w:bottom w:val="single" w:color="D9D9D9" w:sz="3"/>
              <w:right w:val="single" w:color="D9D9D9" w:sz="3"/>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AA0000"/>
                <w:sz w:val="17"/>
                <w:szCs w:val="17"/>
              </w:rPr>
              <w:t xml:space="preserve">✗ No documentation</w:t>
            </w:r>
          </w:p>
        </w:tc>
        <w:tc>
          <w:tcPr>
            <w:tcW w:type="dxa" w:w="1790"/>
            <w:tcBorders>
              <w:top w:val="single" w:color="D9D9D9" w:sz="3"/>
              <w:left w:val="single" w:color="D9D9D9" w:sz="3"/>
              <w:bottom w:val="single" w:color="D9D9D9" w:sz="3"/>
              <w:right w:val="single" w:color="D9D9D9" w:sz="3"/>
            </w:tcBorders>
            <w:shd w:fill="D8ECFF" w:val="clear"/>
            <w:tcMar>
              <w:top w:type="dxa" w:w="60"/>
              <w:left w:type="dxa" w:w="100"/>
              <w:bottom w:type="dxa" w:w="60"/>
              <w:right w:type="dxa" w:w="100"/>
            </w:tcMar>
            <w:vAlign w:val="center"/>
          </w:tcPr>
          <w:p>
            <w:pPr>
              <w:spacing w:after="0" w:before="0"/>
              <w:jc w:val="center"/>
            </w:pPr>
            <w:r>
              <w:rPr>
                <w:rFonts w:ascii="Arial" w:cs="Arial" w:eastAsia="Arial" w:hAnsi="Arial"/>
                <w:b/>
                <w:bCs/>
                <w:color w:val="1A5C2A"/>
                <w:sz w:val="17"/>
                <w:szCs w:val="17"/>
              </w:rPr>
              <w:t xml:space="preserve">✓ Full reasoning per flag</w:t>
            </w:r>
          </w:p>
        </w:tc>
      </w:tr>
      <w:tr>
        <w:tc>
          <w:tcPr>
            <w:tcW w:type="dxa" w:w="2200"/>
            <w:tcBorders>
              <w:top w:val="single" w:color="D9D9D9" w:sz="3"/>
              <w:left w:val="single" w:color="D9D9D9" w:sz="3"/>
              <w:bottom w:val="single" w:color="D9D9D9" w:sz="3"/>
              <w:right w:val="single" w:color="D9D9D9" w:sz="3"/>
            </w:tcBorders>
            <w:shd w:fill="F0F0F0" w:val="clear"/>
            <w:tcMar>
              <w:top w:type="dxa" w:w="60"/>
              <w:left w:type="dxa" w:w="100"/>
              <w:bottom w:type="dxa" w:w="60"/>
              <w:right w:type="dxa" w:w="100"/>
            </w:tcMar>
            <w:vAlign w:val="center"/>
          </w:tcPr>
          <w:p>
            <w:pPr>
              <w:spacing w:after="0" w:before="0"/>
              <w:jc w:val="left"/>
            </w:pPr>
            <w:r>
              <w:rPr>
                <w:rFonts w:ascii="Arial" w:cs="Arial" w:eastAsia="Arial" w:hAnsi="Arial"/>
                <w:b/>
                <w:bCs/>
                <w:color w:val="1F3864"/>
                <w:sz w:val="17"/>
                <w:szCs w:val="17"/>
              </w:rPr>
              <w:t xml:space="preserve">Fair Housing Compliance</w:t>
            </w:r>
          </w:p>
        </w:tc>
        <w:tc>
          <w:tcPr>
            <w:tcW w:type="dxa" w:w="1790"/>
            <w:tcBorders>
              <w:top w:val="single" w:color="D9D9D9" w:sz="3"/>
              <w:left w:val="single" w:color="D9D9D9" w:sz="3"/>
              <w:bottom w:val="single" w:color="D9D9D9" w:sz="3"/>
              <w:right w:val="single" w:color="D9D9D9" w:sz="3"/>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7"/>
                <w:szCs w:val="17"/>
              </w:rPr>
              <w:t xml:space="preserve">Manual (human error)</w:t>
            </w:r>
          </w:p>
        </w:tc>
        <w:tc>
          <w:tcPr>
            <w:tcW w:type="dxa" w:w="1790"/>
            <w:tcBorders>
              <w:top w:val="single" w:color="D9D9D9" w:sz="3"/>
              <w:left w:val="single" w:color="D9D9D9" w:sz="3"/>
              <w:bottom w:val="single" w:color="D9D9D9" w:sz="3"/>
              <w:right w:val="single" w:color="D9D9D9" w:sz="3"/>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7"/>
                <w:szCs w:val="17"/>
              </w:rPr>
              <w:t xml:space="preserve">Risk — approval logic</w:t>
            </w:r>
          </w:p>
        </w:tc>
        <w:tc>
          <w:tcPr>
            <w:tcW w:type="dxa" w:w="1790"/>
            <w:tcBorders>
              <w:top w:val="single" w:color="D9D9D9" w:sz="3"/>
              <w:left w:val="single" w:color="D9D9D9" w:sz="3"/>
              <w:bottom w:val="single" w:color="D9D9D9" w:sz="3"/>
              <w:right w:val="single" w:color="D9D9D9" w:sz="3"/>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7"/>
                <w:szCs w:val="17"/>
              </w:rPr>
              <w:t xml:space="preserve">Not applicable</w:t>
            </w:r>
          </w:p>
        </w:tc>
        <w:tc>
          <w:tcPr>
            <w:tcW w:type="dxa" w:w="1790"/>
            <w:tcBorders>
              <w:top w:val="single" w:color="D9D9D9" w:sz="3"/>
              <w:left w:val="single" w:color="D9D9D9" w:sz="3"/>
              <w:bottom w:val="single" w:color="D9D9D9" w:sz="3"/>
              <w:right w:val="single" w:color="D9D9D9" w:sz="3"/>
            </w:tcBorders>
            <w:shd w:fill="E8F4FF" w:val="clear"/>
            <w:tcMar>
              <w:top w:type="dxa" w:w="60"/>
              <w:left w:type="dxa" w:w="100"/>
              <w:bottom w:type="dxa" w:w="60"/>
              <w:right w:type="dxa" w:w="100"/>
            </w:tcMar>
            <w:vAlign w:val="center"/>
          </w:tcPr>
          <w:p>
            <w:pPr>
              <w:spacing w:after="0" w:before="0"/>
              <w:jc w:val="center"/>
            </w:pPr>
            <w:r>
              <w:rPr>
                <w:rFonts w:ascii="Arial" w:cs="Arial" w:eastAsia="Arial" w:hAnsi="Arial"/>
                <w:b/>
                <w:bCs/>
                <w:color w:val="1A5C2A"/>
                <w:sz w:val="17"/>
                <w:szCs w:val="17"/>
              </w:rPr>
              <w:t xml:space="preserve">✓ Forensic-only, no scoring</w:t>
            </w:r>
          </w:p>
        </w:tc>
      </w:tr>
      <w:tr>
        <w:tc>
          <w:tcPr>
            <w:tcW w:type="dxa" w:w="2200"/>
            <w:tcBorders>
              <w:top w:val="single" w:color="D9D9D9" w:sz="3"/>
              <w:left w:val="single" w:color="D9D9D9" w:sz="3"/>
              <w:bottom w:val="single" w:color="D9D9D9" w:sz="3"/>
              <w:right w:val="single" w:color="D9D9D9" w:sz="3"/>
            </w:tcBorders>
            <w:shd w:fill="F5F5F5" w:val="clear"/>
            <w:tcMar>
              <w:top w:type="dxa" w:w="60"/>
              <w:left w:type="dxa" w:w="100"/>
              <w:bottom w:type="dxa" w:w="60"/>
              <w:right w:type="dxa" w:w="100"/>
            </w:tcMar>
            <w:vAlign w:val="center"/>
          </w:tcPr>
          <w:p>
            <w:pPr>
              <w:spacing w:after="0" w:before="0"/>
              <w:jc w:val="left"/>
            </w:pPr>
            <w:r>
              <w:rPr>
                <w:rFonts w:ascii="Arial" w:cs="Arial" w:eastAsia="Arial" w:hAnsi="Arial"/>
                <w:b/>
                <w:bCs/>
                <w:color w:val="1F3864"/>
                <w:sz w:val="17"/>
                <w:szCs w:val="17"/>
              </w:rPr>
              <w:t xml:space="preserve">Maintenance Triage</w:t>
            </w:r>
          </w:p>
        </w:tc>
        <w:tc>
          <w:tcPr>
            <w:tcW w:type="dxa" w:w="1790"/>
            <w:tcBorders>
              <w:top w:val="single" w:color="D9D9D9" w:sz="3"/>
              <w:left w:val="single" w:color="D9D9D9" w:sz="3"/>
              <w:bottom w:val="single" w:color="D9D9D9" w:sz="3"/>
              <w:right w:val="single" w:color="D9D9D9" w:sz="3"/>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AA0000"/>
                <w:sz w:val="17"/>
                <w:szCs w:val="17"/>
              </w:rPr>
              <w:t xml:space="preserve">✗ Manual coordination</w:t>
            </w:r>
          </w:p>
        </w:tc>
        <w:tc>
          <w:tcPr>
            <w:tcW w:type="dxa" w:w="1790"/>
            <w:tcBorders>
              <w:top w:val="single" w:color="D9D9D9" w:sz="3"/>
              <w:left w:val="single" w:color="D9D9D9" w:sz="3"/>
              <w:bottom w:val="single" w:color="D9D9D9" w:sz="3"/>
              <w:right w:val="single" w:color="D9D9D9" w:sz="3"/>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AA0000"/>
                <w:sz w:val="17"/>
                <w:szCs w:val="17"/>
              </w:rPr>
              <w:t xml:space="preserve">✗ Not offered</w:t>
            </w:r>
          </w:p>
        </w:tc>
        <w:tc>
          <w:tcPr>
            <w:tcW w:type="dxa" w:w="1790"/>
            <w:tcBorders>
              <w:top w:val="single" w:color="D9D9D9" w:sz="3"/>
              <w:left w:val="single" w:color="D9D9D9" w:sz="3"/>
              <w:bottom w:val="single" w:color="D9D9D9" w:sz="3"/>
              <w:right w:val="single" w:color="D9D9D9" w:sz="3"/>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7"/>
                <w:szCs w:val="17"/>
              </w:rPr>
              <w:t xml:space="preserve">Partial — ticketing only</w:t>
            </w:r>
          </w:p>
        </w:tc>
        <w:tc>
          <w:tcPr>
            <w:tcW w:type="dxa" w:w="1790"/>
            <w:tcBorders>
              <w:top w:val="single" w:color="D9D9D9" w:sz="3"/>
              <w:left w:val="single" w:color="D9D9D9" w:sz="3"/>
              <w:bottom w:val="single" w:color="D9D9D9" w:sz="3"/>
              <w:right w:val="single" w:color="D9D9D9" w:sz="3"/>
            </w:tcBorders>
            <w:shd w:fill="D8ECFF" w:val="clear"/>
            <w:tcMar>
              <w:top w:type="dxa" w:w="60"/>
              <w:left w:type="dxa" w:w="100"/>
              <w:bottom w:type="dxa" w:w="60"/>
              <w:right w:type="dxa" w:w="100"/>
            </w:tcMar>
            <w:vAlign w:val="center"/>
          </w:tcPr>
          <w:p>
            <w:pPr>
              <w:spacing w:after="0" w:before="0"/>
              <w:jc w:val="center"/>
            </w:pPr>
            <w:r>
              <w:rPr>
                <w:rFonts w:ascii="Arial" w:cs="Arial" w:eastAsia="Arial" w:hAnsi="Arial"/>
                <w:b/>
                <w:bCs/>
                <w:color w:val="1A5C2A"/>
                <w:sz w:val="17"/>
                <w:szCs w:val="17"/>
              </w:rPr>
              <w:t xml:space="preserve">✓ AI draft + human approval</w:t>
            </w:r>
          </w:p>
        </w:tc>
      </w:tr>
      <w:tr>
        <w:tc>
          <w:tcPr>
            <w:tcW w:type="dxa" w:w="2200"/>
            <w:tcBorders>
              <w:top w:val="single" w:color="D9D9D9" w:sz="3"/>
              <w:left w:val="single" w:color="D9D9D9" w:sz="3"/>
              <w:bottom w:val="single" w:color="D9D9D9" w:sz="3"/>
              <w:right w:val="single" w:color="D9D9D9" w:sz="3"/>
            </w:tcBorders>
            <w:shd w:fill="F0F0F0" w:val="clear"/>
            <w:tcMar>
              <w:top w:type="dxa" w:w="60"/>
              <w:left w:type="dxa" w:w="100"/>
              <w:bottom w:type="dxa" w:w="60"/>
              <w:right w:type="dxa" w:w="100"/>
            </w:tcMar>
            <w:vAlign w:val="center"/>
          </w:tcPr>
          <w:p>
            <w:pPr>
              <w:spacing w:after="0" w:before="0"/>
              <w:jc w:val="left"/>
            </w:pPr>
            <w:r>
              <w:rPr>
                <w:rFonts w:ascii="Arial" w:cs="Arial" w:eastAsia="Arial" w:hAnsi="Arial"/>
                <w:b/>
                <w:bCs/>
                <w:color w:val="1F3864"/>
                <w:sz w:val="17"/>
                <w:szCs w:val="17"/>
              </w:rPr>
              <w:t xml:space="preserve">After-Hours Emergency Logic</w:t>
            </w:r>
          </w:p>
        </w:tc>
        <w:tc>
          <w:tcPr>
            <w:tcW w:type="dxa" w:w="1790"/>
            <w:tcBorders>
              <w:top w:val="single" w:color="D9D9D9" w:sz="3"/>
              <w:left w:val="single" w:color="D9D9D9" w:sz="3"/>
              <w:bottom w:val="single" w:color="D9D9D9" w:sz="3"/>
              <w:right w:val="single" w:color="D9D9D9" w:sz="3"/>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AA0000"/>
                <w:sz w:val="17"/>
                <w:szCs w:val="17"/>
              </w:rPr>
              <w:t xml:space="preserve">✗ None</w:t>
            </w:r>
          </w:p>
        </w:tc>
        <w:tc>
          <w:tcPr>
            <w:tcW w:type="dxa" w:w="1790"/>
            <w:tcBorders>
              <w:top w:val="single" w:color="D9D9D9" w:sz="3"/>
              <w:left w:val="single" w:color="D9D9D9" w:sz="3"/>
              <w:bottom w:val="single" w:color="D9D9D9" w:sz="3"/>
              <w:right w:val="single" w:color="D9D9D9" w:sz="3"/>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AA0000"/>
                <w:sz w:val="17"/>
                <w:szCs w:val="17"/>
              </w:rPr>
              <w:t xml:space="preserve">✗ Not offered</w:t>
            </w:r>
          </w:p>
        </w:tc>
        <w:tc>
          <w:tcPr>
            <w:tcW w:type="dxa" w:w="1790"/>
            <w:tcBorders>
              <w:top w:val="single" w:color="D9D9D9" w:sz="3"/>
              <w:left w:val="single" w:color="D9D9D9" w:sz="3"/>
              <w:bottom w:val="single" w:color="D9D9D9" w:sz="3"/>
              <w:right w:val="single" w:color="D9D9D9" w:sz="3"/>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7"/>
                <w:szCs w:val="17"/>
              </w:rPr>
              <w:t xml:space="preserve">Partial — staffing lag</w:t>
            </w:r>
          </w:p>
        </w:tc>
        <w:tc>
          <w:tcPr>
            <w:tcW w:type="dxa" w:w="1790"/>
            <w:tcBorders>
              <w:top w:val="single" w:color="D9D9D9" w:sz="3"/>
              <w:left w:val="single" w:color="D9D9D9" w:sz="3"/>
              <w:bottom w:val="single" w:color="D9D9D9" w:sz="3"/>
              <w:right w:val="single" w:color="D9D9D9" w:sz="3"/>
            </w:tcBorders>
            <w:shd w:fill="E8F4FF" w:val="clear"/>
            <w:tcMar>
              <w:top w:type="dxa" w:w="60"/>
              <w:left w:type="dxa" w:w="100"/>
              <w:bottom w:type="dxa" w:w="60"/>
              <w:right w:type="dxa" w:w="100"/>
            </w:tcMar>
            <w:vAlign w:val="center"/>
          </w:tcPr>
          <w:p>
            <w:pPr>
              <w:spacing w:after="0" w:before="0"/>
              <w:jc w:val="center"/>
            </w:pPr>
            <w:r>
              <w:rPr>
                <w:rFonts w:ascii="Arial" w:cs="Arial" w:eastAsia="Arial" w:hAnsi="Arial"/>
                <w:b/>
                <w:bCs/>
                <w:color w:val="1A5C2A"/>
                <w:sz w:val="17"/>
                <w:szCs w:val="17"/>
              </w:rPr>
              <w:t xml:space="preserve">✓ Deterministic hard-stop</w:t>
            </w:r>
          </w:p>
        </w:tc>
      </w:tr>
      <w:tr>
        <w:tc>
          <w:tcPr>
            <w:tcW w:type="dxa" w:w="2200"/>
            <w:tcBorders>
              <w:top w:val="single" w:color="D9D9D9" w:sz="3"/>
              <w:left w:val="single" w:color="D9D9D9" w:sz="3"/>
              <w:bottom w:val="single" w:color="D9D9D9" w:sz="3"/>
              <w:right w:val="single" w:color="D9D9D9" w:sz="3"/>
            </w:tcBorders>
            <w:shd w:fill="F5F5F5" w:val="clear"/>
            <w:tcMar>
              <w:top w:type="dxa" w:w="60"/>
              <w:left w:type="dxa" w:w="100"/>
              <w:bottom w:type="dxa" w:w="60"/>
              <w:right w:type="dxa" w:w="100"/>
            </w:tcMar>
            <w:vAlign w:val="center"/>
          </w:tcPr>
          <w:p>
            <w:pPr>
              <w:spacing w:after="0" w:before="0"/>
              <w:jc w:val="left"/>
            </w:pPr>
            <w:r>
              <w:rPr>
                <w:rFonts w:ascii="Arial" w:cs="Arial" w:eastAsia="Arial" w:hAnsi="Arial"/>
                <w:b/>
                <w:bCs/>
                <w:color w:val="1F3864"/>
                <w:sz w:val="17"/>
                <w:szCs w:val="17"/>
              </w:rPr>
              <w:t xml:space="preserve">Built for 5–150 Unit Owners</w:t>
            </w:r>
          </w:p>
        </w:tc>
        <w:tc>
          <w:tcPr>
            <w:tcW w:type="dxa" w:w="1790"/>
            <w:tcBorders>
              <w:top w:val="single" w:color="D9D9D9" w:sz="3"/>
              <w:left w:val="single" w:color="D9D9D9" w:sz="3"/>
              <w:bottom w:val="single" w:color="D9D9D9" w:sz="3"/>
              <w:right w:val="single" w:color="D9D9D9" w:sz="3"/>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AA0000"/>
                <w:sz w:val="17"/>
                <w:szCs w:val="17"/>
              </w:rPr>
              <w:t xml:space="preserve">✗ Designed for scale</w:t>
            </w:r>
          </w:p>
        </w:tc>
        <w:tc>
          <w:tcPr>
            <w:tcW w:type="dxa" w:w="1790"/>
            <w:tcBorders>
              <w:top w:val="single" w:color="D9D9D9" w:sz="3"/>
              <w:left w:val="single" w:color="D9D9D9" w:sz="3"/>
              <w:bottom w:val="single" w:color="D9D9D9" w:sz="3"/>
              <w:right w:val="single" w:color="D9D9D9" w:sz="3"/>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7"/>
                <w:szCs w:val="17"/>
              </w:rPr>
              <w:t xml:space="preserve">Partial — any landlord</w:t>
            </w:r>
          </w:p>
        </w:tc>
        <w:tc>
          <w:tcPr>
            <w:tcW w:type="dxa" w:w="1790"/>
            <w:tcBorders>
              <w:top w:val="single" w:color="D9D9D9" w:sz="3"/>
              <w:left w:val="single" w:color="D9D9D9" w:sz="3"/>
              <w:bottom w:val="single" w:color="D9D9D9" w:sz="3"/>
              <w:right w:val="single" w:color="D9D9D9" w:sz="3"/>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AA0000"/>
                <w:sz w:val="17"/>
                <w:szCs w:val="17"/>
              </w:rPr>
              <w:t xml:space="preserve">✗ Cost-prohibitive</w:t>
            </w:r>
          </w:p>
        </w:tc>
        <w:tc>
          <w:tcPr>
            <w:tcW w:type="dxa" w:w="1790"/>
            <w:tcBorders>
              <w:top w:val="single" w:color="D9D9D9" w:sz="3"/>
              <w:left w:val="single" w:color="D9D9D9" w:sz="3"/>
              <w:bottom w:val="single" w:color="D9D9D9" w:sz="3"/>
              <w:right w:val="single" w:color="D9D9D9" w:sz="3"/>
            </w:tcBorders>
            <w:shd w:fill="D8ECFF" w:val="clear"/>
            <w:tcMar>
              <w:top w:type="dxa" w:w="60"/>
              <w:left w:type="dxa" w:w="100"/>
              <w:bottom w:type="dxa" w:w="60"/>
              <w:right w:type="dxa" w:w="100"/>
            </w:tcMar>
            <w:vAlign w:val="center"/>
          </w:tcPr>
          <w:p>
            <w:pPr>
              <w:spacing w:after="0" w:before="0"/>
              <w:jc w:val="center"/>
            </w:pPr>
            <w:r>
              <w:rPr>
                <w:rFonts w:ascii="Arial" w:cs="Arial" w:eastAsia="Arial" w:hAnsi="Arial"/>
                <w:b/>
                <w:bCs/>
                <w:color w:val="1A5C2A"/>
                <w:sz w:val="17"/>
                <w:szCs w:val="17"/>
              </w:rPr>
              <w:t xml:space="preserve">✓ Purpose-built for segment</w:t>
            </w:r>
          </w:p>
        </w:tc>
      </w:tr>
      <w:tr>
        <w:tc>
          <w:tcPr>
            <w:tcW w:type="dxa" w:w="2200"/>
            <w:tcBorders>
              <w:top w:val="single" w:color="D9D9D9" w:sz="3"/>
              <w:left w:val="single" w:color="D9D9D9" w:sz="3"/>
              <w:bottom w:val="single" w:color="D9D9D9" w:sz="3"/>
              <w:right w:val="single" w:color="D9D9D9" w:sz="3"/>
            </w:tcBorders>
            <w:shd w:fill="F0F0F0" w:val="clear"/>
            <w:tcMar>
              <w:top w:type="dxa" w:w="60"/>
              <w:left w:type="dxa" w:w="100"/>
              <w:bottom w:type="dxa" w:w="60"/>
              <w:right w:type="dxa" w:w="100"/>
            </w:tcMar>
            <w:vAlign w:val="center"/>
          </w:tcPr>
          <w:p>
            <w:pPr>
              <w:spacing w:after="0" w:before="0"/>
              <w:jc w:val="left"/>
            </w:pPr>
            <w:r>
              <w:rPr>
                <w:rFonts w:ascii="Arial" w:cs="Arial" w:eastAsia="Arial" w:hAnsi="Arial"/>
                <w:b/>
                <w:bCs/>
                <w:color w:val="1F3864"/>
                <w:sz w:val="17"/>
                <w:szCs w:val="17"/>
              </w:rPr>
              <w:t xml:space="preserve">Embedded Operational Memory</w:t>
            </w:r>
          </w:p>
        </w:tc>
        <w:tc>
          <w:tcPr>
            <w:tcW w:type="dxa" w:w="1790"/>
            <w:tcBorders>
              <w:top w:val="single" w:color="D9D9D9" w:sz="3"/>
              <w:left w:val="single" w:color="D9D9D9" w:sz="3"/>
              <w:bottom w:val="single" w:color="D9D9D9" w:sz="3"/>
              <w:right w:val="single" w:color="D9D9D9" w:sz="3"/>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AA0000"/>
                <w:sz w:val="17"/>
                <w:szCs w:val="17"/>
              </w:rPr>
              <w:t xml:space="preserve">✗ Data only</w:t>
            </w:r>
          </w:p>
        </w:tc>
        <w:tc>
          <w:tcPr>
            <w:tcW w:type="dxa" w:w="1790"/>
            <w:tcBorders>
              <w:top w:val="single" w:color="D9D9D9" w:sz="3"/>
              <w:left w:val="single" w:color="D9D9D9" w:sz="3"/>
              <w:bottom w:val="single" w:color="D9D9D9" w:sz="3"/>
              <w:right w:val="single" w:color="D9D9D9" w:sz="3"/>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AA0000"/>
                <w:sz w:val="17"/>
                <w:szCs w:val="17"/>
              </w:rPr>
              <w:t xml:space="preserve">✗ Episodic only</w:t>
            </w:r>
          </w:p>
        </w:tc>
        <w:tc>
          <w:tcPr>
            <w:tcW w:type="dxa" w:w="1790"/>
            <w:tcBorders>
              <w:top w:val="single" w:color="D9D9D9" w:sz="3"/>
              <w:left w:val="single" w:color="D9D9D9" w:sz="3"/>
              <w:bottom w:val="single" w:color="D9D9D9" w:sz="3"/>
              <w:right w:val="single" w:color="D9D9D9" w:sz="3"/>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AA0000"/>
                <w:sz w:val="17"/>
                <w:szCs w:val="17"/>
              </w:rPr>
              <w:t xml:space="preserve">✗ None</w:t>
            </w:r>
          </w:p>
        </w:tc>
        <w:tc>
          <w:tcPr>
            <w:tcW w:type="dxa" w:w="1790"/>
            <w:tcBorders>
              <w:top w:val="single" w:color="D9D9D9" w:sz="3"/>
              <w:left w:val="single" w:color="D9D9D9" w:sz="3"/>
              <w:bottom w:val="single" w:color="D9D9D9" w:sz="3"/>
              <w:right w:val="single" w:color="D9D9D9" w:sz="3"/>
            </w:tcBorders>
            <w:shd w:fill="E8F4FF" w:val="clear"/>
            <w:tcMar>
              <w:top w:type="dxa" w:w="60"/>
              <w:left w:type="dxa" w:w="100"/>
              <w:bottom w:type="dxa" w:w="60"/>
              <w:right w:type="dxa" w:w="100"/>
            </w:tcMar>
            <w:vAlign w:val="center"/>
          </w:tcPr>
          <w:p>
            <w:pPr>
              <w:spacing w:after="0" w:before="0"/>
              <w:jc w:val="center"/>
            </w:pPr>
            <w:r>
              <w:rPr>
                <w:rFonts w:ascii="Arial" w:cs="Arial" w:eastAsia="Arial" w:hAnsi="Arial"/>
                <w:b/>
                <w:bCs/>
                <w:color w:val="1A5C2A"/>
                <w:sz w:val="17"/>
                <w:szCs w:val="17"/>
              </w:rPr>
              <w:t xml:space="preserve">✓ Compounds with every use</w:t>
            </w:r>
          </w:p>
        </w:tc>
      </w:tr>
      <w:tr>
        <w:tc>
          <w:tcPr>
            <w:tcW w:type="dxa" w:w="2200"/>
            <w:tcBorders>
              <w:top w:val="single" w:color="D9D9D9" w:sz="3"/>
              <w:left w:val="single" w:color="D9D9D9" w:sz="3"/>
              <w:bottom w:val="single" w:color="D9D9D9" w:sz="3"/>
              <w:right w:val="single" w:color="D9D9D9" w:sz="3"/>
            </w:tcBorders>
            <w:shd w:fill="F5F5F5" w:val="clear"/>
            <w:tcMar>
              <w:top w:type="dxa" w:w="60"/>
              <w:left w:type="dxa" w:w="100"/>
              <w:bottom w:type="dxa" w:w="60"/>
              <w:right w:type="dxa" w:w="100"/>
            </w:tcMar>
            <w:vAlign w:val="center"/>
          </w:tcPr>
          <w:p>
            <w:pPr>
              <w:spacing w:after="0" w:before="0"/>
              <w:jc w:val="left"/>
            </w:pPr>
            <w:r>
              <w:rPr>
                <w:rFonts w:ascii="Arial" w:cs="Arial" w:eastAsia="Arial" w:hAnsi="Arial"/>
                <w:b/>
                <w:bCs/>
                <w:color w:val="1F3864"/>
                <w:sz w:val="17"/>
                <w:szCs w:val="17"/>
              </w:rPr>
              <w:t xml:space="preserve">Unified Leasing + Ops Layer</w:t>
            </w:r>
          </w:p>
        </w:tc>
        <w:tc>
          <w:tcPr>
            <w:tcW w:type="dxa" w:w="1790"/>
            <w:tcBorders>
              <w:top w:val="single" w:color="D9D9D9" w:sz="3"/>
              <w:left w:val="single" w:color="D9D9D9" w:sz="3"/>
              <w:bottom w:val="single" w:color="D9D9D9" w:sz="3"/>
              <w:right w:val="single" w:color="D9D9D9" w:sz="3"/>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AA0000"/>
                <w:sz w:val="17"/>
                <w:szCs w:val="17"/>
              </w:rPr>
              <w:t xml:space="preserve">✗ Separate tools needed</w:t>
            </w:r>
          </w:p>
        </w:tc>
        <w:tc>
          <w:tcPr>
            <w:tcW w:type="dxa" w:w="1790"/>
            <w:tcBorders>
              <w:top w:val="single" w:color="D9D9D9" w:sz="3"/>
              <w:left w:val="single" w:color="D9D9D9" w:sz="3"/>
              <w:bottom w:val="single" w:color="D9D9D9" w:sz="3"/>
              <w:right w:val="single" w:color="D9D9D9" w:sz="3"/>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AA0000"/>
                <w:sz w:val="17"/>
                <w:szCs w:val="17"/>
              </w:rPr>
              <w:t xml:space="preserve">✗ Screening only</w:t>
            </w:r>
          </w:p>
        </w:tc>
        <w:tc>
          <w:tcPr>
            <w:tcW w:type="dxa" w:w="1790"/>
            <w:tcBorders>
              <w:top w:val="single" w:color="D9D9D9" w:sz="3"/>
              <w:left w:val="single" w:color="D9D9D9" w:sz="3"/>
              <w:bottom w:val="single" w:color="D9D9D9" w:sz="3"/>
              <w:right w:val="single" w:color="D9D9D9" w:sz="3"/>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AA0000"/>
                <w:sz w:val="17"/>
                <w:szCs w:val="17"/>
              </w:rPr>
              <w:t xml:space="preserve">✗ Maintenance only</w:t>
            </w:r>
          </w:p>
        </w:tc>
        <w:tc>
          <w:tcPr>
            <w:tcW w:type="dxa" w:w="1790"/>
            <w:tcBorders>
              <w:top w:val="single" w:color="D9D9D9" w:sz="3"/>
              <w:left w:val="single" w:color="D9D9D9" w:sz="3"/>
              <w:bottom w:val="single" w:color="D9D9D9" w:sz="3"/>
              <w:right w:val="single" w:color="D9D9D9" w:sz="3"/>
            </w:tcBorders>
            <w:shd w:fill="D8ECFF" w:val="clear"/>
            <w:tcMar>
              <w:top w:type="dxa" w:w="60"/>
              <w:left w:type="dxa" w:w="100"/>
              <w:bottom w:type="dxa" w:w="60"/>
              <w:right w:type="dxa" w:w="100"/>
            </w:tcMar>
            <w:vAlign w:val="center"/>
          </w:tcPr>
          <w:p>
            <w:pPr>
              <w:spacing w:after="0" w:before="0"/>
              <w:jc w:val="center"/>
            </w:pPr>
            <w:r>
              <w:rPr>
                <w:rFonts w:ascii="Arial" w:cs="Arial" w:eastAsia="Arial" w:hAnsi="Arial"/>
                <w:b/>
                <w:bCs/>
                <w:color w:val="1A5C2A"/>
                <w:sz w:val="17"/>
                <w:szCs w:val="17"/>
              </w:rPr>
              <w:t xml:space="preserve">✓ Single platform, both jobs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3864"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6</w:t>
            </w:r>
          </w:p>
        </w:tc>
        <w:tc>
          <w:tcPr>
            <w:tcW w:type="dxa" w:w="8760"/>
            <w:tcBorders>
              <w:top w:val="none" w:color="FFFFFF" w:sz="0"/>
              <w:left w:val="none" w:color="FFFFFF" w:sz="0"/>
              <w:bottom w:val="none" w:color="FFFFFF" w:sz="0"/>
              <w:right w:val="none" w:color="FFFFFF" w:sz="0"/>
            </w:tcBorders>
            <w:shd w:fill="2E75B6" w:val="clear"/>
            <w:tcMar>
              <w:top w:type="dxa" w:w="100"/>
              <w:left w:type="dxa" w:w="180"/>
              <w:bottom w:type="dxa" w:w="100"/>
              <w:right w:type="dxa" w:w="120"/>
            </w:tcMar>
            <w:vAlign w:val="center"/>
          </w:tcPr>
          <w:p>
            <w:pPr>
              <w:spacing w:after="0" w:before="0"/>
            </w:pPr>
            <w:r>
              <w:rPr>
                <w:rFonts w:ascii="Arial" w:cs="Arial" w:eastAsia="Arial" w:hAnsi="Arial"/>
                <w:b/>
                <w:bCs/>
                <w:color w:val="FFFFFF"/>
                <w:sz w:val="22"/>
                <w:szCs w:val="22"/>
              </w:rPr>
              <w:t xml:space="preserve">THE BOTTOM LINE FOR YOUR PORTFOLIO</w:t>
            </w:r>
          </w:p>
        </w:tc>
      </w:tr>
    </w:tbl>
    <w:p>
      <w:pPr>
        <w:spacing w:after="0" w:before="160"/>
      </w:pPr>
    </w:p>
    <w:p>
      <w:pPr>
        <w:spacing w:after="140" w:before="0"/>
        <w:jc w:val="left"/>
      </w:pPr>
      <w:r>
        <w:rPr>
          <w:rFonts w:ascii="Arial" w:cs="Arial" w:eastAsia="Arial" w:hAnsi="Arial"/>
          <w:b w:val="false"/>
          <w:bCs w:val="false"/>
          <w:i w:val="false"/>
          <w:iCs w:val="false"/>
          <w:color w:val="404040"/>
          <w:sz w:val="20"/>
          <w:szCs w:val="20"/>
        </w:rPr>
        <w:t xml:space="preserve">Every platform in this market was built to serve someone else's problem at someone else's scale. AppFolio and Yardi are enterprise infrastructure. Snappt is a compliance checkbox. AI dispatchers are cost-cutting tools for large operators. None of them were architected around the specific risks you carry as an independent landlord.</w:t>
      </w:r>
    </w:p>
    <w:p>
      <w:pPr>
        <w:spacing w:after="200" w:before="0"/>
        <w:jc w:val="left"/>
      </w:pPr>
      <w:r>
        <w:rPr>
          <w:rFonts w:ascii="Arial" w:cs="Arial" w:eastAsia="Arial" w:hAnsi="Arial"/>
          <w:b w:val="false"/>
          <w:bCs w:val="false"/>
          <w:i w:val="false"/>
          <w:iCs w:val="false"/>
          <w:color w:val="404040"/>
          <w:sz w:val="20"/>
          <w:szCs w:val="20"/>
        </w:rPr>
        <w:t xml:space="preserve">PropertyOps AI starts with the highest-risk transaction in your business — onboarding — and builds outward into daily operations. The compliance architecture isn't a feature toggle. It's the foundation. The result is a platform that protects you, documents your decisions, and gets more useful the longer you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pPr>
              <w:spacing w:after="0" w:before="0"/>
            </w:pPr>
          </w:p>
        </w:tc>
        <w:tc>
          <w:tcPr>
            <w:tcW w:type="dxa" w:w="9120"/>
            <w:tcBorders>
              <w:top w:val="none" w:color="FFFFFF" w:sz="0"/>
              <w:left w:val="single" w:color="C00000" w:sz="12"/>
              <w:bottom w:val="none" w:color="FFFFFF" w:sz="0"/>
              <w:right w:val="none" w:color="FFFFFF" w:sz="0"/>
            </w:tcBorders>
            <w:shd w:fill="FFF5F5" w:val="clear"/>
            <w:tcMar>
              <w:top w:type="dxa" w:w="120"/>
              <w:left w:type="dxa" w:w="200"/>
              <w:bottom w:type="dxa" w:w="120"/>
              <w:right w:type="dxa" w:w="160"/>
            </w:tcMar>
          </w:tcPr>
          <w:p>
            <w:pPr>
              <w:spacing w:after="60" w:before="0"/>
              <w:jc w:val="left"/>
            </w:pPr>
            <w:r>
              <w:rPr>
                <w:rFonts w:ascii="Arial" w:cs="Arial" w:eastAsia="Arial" w:hAnsi="Arial"/>
                <w:b/>
                <w:bCs/>
                <w:i w:val="false"/>
                <w:iCs w:val="false"/>
                <w:color w:val="C00000"/>
                <w:sz w:val="21"/>
                <w:szCs w:val="21"/>
              </w:rPr>
              <w:t xml:space="preserve">What no competitor can offer you</w:t>
            </w:r>
          </w:p>
          <w:p>
            <w:pPr>
              <w:spacing w:after="0" w:before="0"/>
              <w:jc w:val="left"/>
            </w:pPr>
            <w:r>
              <w:rPr>
                <w:rFonts w:ascii="Arial" w:cs="Arial" w:eastAsia="Arial" w:hAnsi="Arial"/>
                <w:b w:val="false"/>
                <w:bCs w:val="false"/>
                <w:i w:val="false"/>
                <w:iCs w:val="false"/>
                <w:color w:val="444444"/>
                <w:sz w:val="19"/>
                <w:szCs w:val="19"/>
              </w:rPr>
              <w:t xml:space="preserve">A single platform that forensically verifies application documents with a full audit trail, triages maintenance with built-in safety gates, and embeds into your daily workflow — all designed specifically for independent landlords managing between 5 and 150 units.</w:t>
            </w:r>
          </w:p>
        </w:tc>
      </w:tr>
    </w:tbl>
    <w:p>
      <w:pPr>
        <w:spacing w:after="0" w:before="200"/>
      </w:pPr>
    </w:p>
    <w:p>
      <w:pPr>
        <w:pBdr>
          <w:top w:val="single" w:color="D9D9D9" w:sz="4" w:space="8"/>
        </w:pBdr>
        <w:spacing w:after="0" w:before="0"/>
        <w:jc w:val="center"/>
      </w:pPr>
      <w:r>
        <w:rPr>
          <w:rFonts w:ascii="Arial" w:cs="Arial" w:eastAsia="Arial" w:hAnsi="Arial"/>
          <w:i/>
          <w:iCs/>
          <w:color w:val="999999"/>
          <w:sz w:val="16"/>
          <w:szCs w:val="16"/>
        </w:rPr>
        <w:t xml:space="preserve">PropertyOps AI  |  Competitive Landscape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2026-04-09T00:27:01.077Z</dcterms:created>
  <dcterms:modified xsi:type="dcterms:W3CDTF">2026-04-09T00:27:01.078Z</dcterms:modified>
</cp:coreProperties>
</file>

<file path=docProps/custom.xml><?xml version="1.0" encoding="utf-8"?>
<Properties xmlns="http://schemas.openxmlformats.org/officeDocument/2006/custom-properties" xmlns:vt="http://schemas.openxmlformats.org/officeDocument/2006/docPropsVTypes"/>
</file>