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1877" w14:textId="2D58835F" w:rsidR="00BB4115" w:rsidRDefault="00BB4115" w:rsidP="00300BFF">
      <w:pPr>
        <w:spacing w:after="0"/>
        <w:jc w:val="both"/>
        <w:rPr>
          <w:rFonts w:ascii="Arial" w:hAnsi="Arial" w:cs="Arial"/>
          <w:sz w:val="20"/>
          <w:szCs w:val="20"/>
        </w:rPr>
      </w:pPr>
    </w:p>
    <w:sdt>
      <w:sdtPr>
        <w:rPr>
          <w:rFonts w:ascii="Arial" w:eastAsiaTheme="minorHAnsi" w:hAnsi="Arial" w:cs="Arial"/>
          <w:b/>
          <w:bCs/>
          <w:color w:val="auto"/>
          <w:sz w:val="28"/>
          <w:szCs w:val="28"/>
          <w:lang w:val="es-ES" w:eastAsia="en-US"/>
        </w:rPr>
        <w:id w:val="-1238620639"/>
        <w:docPartObj>
          <w:docPartGallery w:val="Table of Contents"/>
          <w:docPartUnique/>
        </w:docPartObj>
      </w:sdtPr>
      <w:sdtEndPr>
        <w:rPr>
          <w:sz w:val="20"/>
          <w:szCs w:val="20"/>
        </w:rPr>
      </w:sdtEndPr>
      <w:sdtContent>
        <w:p w14:paraId="5BDDAECE" w14:textId="434F6DE0" w:rsidR="0008626D" w:rsidRPr="00A162B8" w:rsidRDefault="003F5BE7">
          <w:pPr>
            <w:pStyle w:val="TtuloTDC"/>
            <w:rPr>
              <w:rFonts w:ascii="Arial" w:hAnsi="Arial" w:cs="Arial"/>
              <w:b/>
              <w:bCs/>
              <w:color w:val="auto"/>
              <w:sz w:val="22"/>
              <w:szCs w:val="22"/>
              <w:lang w:val="es-ES"/>
            </w:rPr>
          </w:pPr>
          <w:r w:rsidRPr="00A162B8">
            <w:rPr>
              <w:rFonts w:ascii="Arial" w:hAnsi="Arial" w:cs="Arial"/>
              <w:b/>
              <w:bCs/>
              <w:color w:val="auto"/>
              <w:sz w:val="22"/>
              <w:szCs w:val="22"/>
              <w:lang w:val="es-ES"/>
            </w:rPr>
            <w:t>ÍNDICE</w:t>
          </w:r>
        </w:p>
        <w:p w14:paraId="1D63A8FD" w14:textId="77777777" w:rsidR="003F5BE7" w:rsidRPr="00A162B8" w:rsidRDefault="003F5BE7" w:rsidP="003F5BE7">
          <w:pPr>
            <w:rPr>
              <w:rFonts w:ascii="Arial" w:hAnsi="Arial" w:cs="Arial"/>
              <w:b/>
              <w:bCs/>
              <w:sz w:val="20"/>
              <w:szCs w:val="20"/>
              <w:lang w:val="es-ES" w:eastAsia="es-CL"/>
            </w:rPr>
          </w:pPr>
        </w:p>
        <w:p w14:paraId="080431D2" w14:textId="5F21EDB1" w:rsidR="006B0F9C" w:rsidRPr="006B0F9C" w:rsidRDefault="0008626D">
          <w:pPr>
            <w:pStyle w:val="TDC1"/>
            <w:tabs>
              <w:tab w:val="left" w:pos="440"/>
              <w:tab w:val="right" w:leader="dot" w:pos="8828"/>
            </w:tabs>
            <w:rPr>
              <w:rFonts w:ascii="Arial" w:eastAsiaTheme="minorEastAsia" w:hAnsi="Arial" w:cs="Arial"/>
              <w:b/>
              <w:bCs/>
              <w:noProof/>
              <w:sz w:val="20"/>
              <w:szCs w:val="20"/>
              <w:lang w:eastAsia="es-CL"/>
            </w:rPr>
          </w:pPr>
          <w:r w:rsidRPr="00A162B8">
            <w:rPr>
              <w:rFonts w:ascii="Arial" w:hAnsi="Arial" w:cs="Arial"/>
              <w:b/>
              <w:bCs/>
              <w:sz w:val="20"/>
              <w:szCs w:val="20"/>
            </w:rPr>
            <w:fldChar w:fldCharType="begin"/>
          </w:r>
          <w:r w:rsidRPr="00A162B8">
            <w:rPr>
              <w:rFonts w:ascii="Arial" w:hAnsi="Arial" w:cs="Arial"/>
              <w:b/>
              <w:bCs/>
              <w:sz w:val="20"/>
              <w:szCs w:val="20"/>
            </w:rPr>
            <w:instrText xml:space="preserve"> TOC \o "1-3" \h \z \u </w:instrText>
          </w:r>
          <w:r w:rsidRPr="00A162B8">
            <w:rPr>
              <w:rFonts w:ascii="Arial" w:hAnsi="Arial" w:cs="Arial"/>
              <w:b/>
              <w:bCs/>
              <w:sz w:val="20"/>
              <w:szCs w:val="20"/>
            </w:rPr>
            <w:fldChar w:fldCharType="separate"/>
          </w:r>
          <w:hyperlink w:anchor="_Toc132277740" w:history="1">
            <w:r w:rsidR="006B0F9C" w:rsidRPr="006B0F9C">
              <w:rPr>
                <w:rStyle w:val="Hipervnculo"/>
                <w:rFonts w:ascii="Arial" w:hAnsi="Arial" w:cs="Arial"/>
                <w:b/>
                <w:bCs/>
                <w:noProof/>
                <w:sz w:val="20"/>
                <w:szCs w:val="20"/>
              </w:rPr>
              <w:t>1.</w:t>
            </w:r>
            <w:r w:rsidR="006B0F9C" w:rsidRPr="006B0F9C">
              <w:rPr>
                <w:rFonts w:ascii="Arial" w:eastAsiaTheme="minorEastAsia" w:hAnsi="Arial" w:cs="Arial"/>
                <w:b/>
                <w:bCs/>
                <w:noProof/>
                <w:sz w:val="20"/>
                <w:szCs w:val="20"/>
                <w:lang w:eastAsia="es-CL"/>
              </w:rPr>
              <w:tab/>
            </w:r>
            <w:r w:rsidR="006B0F9C" w:rsidRPr="006B0F9C">
              <w:rPr>
                <w:rStyle w:val="Hipervnculo"/>
                <w:rFonts w:ascii="Arial" w:hAnsi="Arial" w:cs="Arial"/>
                <w:b/>
                <w:bCs/>
                <w:noProof/>
                <w:sz w:val="20"/>
                <w:szCs w:val="20"/>
              </w:rPr>
              <w:t>OBJETIVO</w:t>
            </w:r>
            <w:r w:rsidR="006B0F9C" w:rsidRPr="006B0F9C">
              <w:rPr>
                <w:rFonts w:ascii="Arial" w:hAnsi="Arial" w:cs="Arial"/>
                <w:b/>
                <w:bCs/>
                <w:noProof/>
                <w:webHidden/>
                <w:sz w:val="20"/>
                <w:szCs w:val="20"/>
              </w:rPr>
              <w:tab/>
            </w:r>
            <w:r w:rsidR="006B0F9C" w:rsidRPr="006B0F9C">
              <w:rPr>
                <w:rFonts w:ascii="Arial" w:hAnsi="Arial" w:cs="Arial"/>
                <w:b/>
                <w:bCs/>
                <w:noProof/>
                <w:webHidden/>
                <w:sz w:val="20"/>
                <w:szCs w:val="20"/>
              </w:rPr>
              <w:fldChar w:fldCharType="begin"/>
            </w:r>
            <w:r w:rsidR="006B0F9C" w:rsidRPr="006B0F9C">
              <w:rPr>
                <w:rFonts w:ascii="Arial" w:hAnsi="Arial" w:cs="Arial"/>
                <w:b/>
                <w:bCs/>
                <w:noProof/>
                <w:webHidden/>
                <w:sz w:val="20"/>
                <w:szCs w:val="20"/>
              </w:rPr>
              <w:instrText xml:space="preserve"> PAGEREF _Toc132277740 \h </w:instrText>
            </w:r>
            <w:r w:rsidR="006B0F9C" w:rsidRPr="006B0F9C">
              <w:rPr>
                <w:rFonts w:ascii="Arial" w:hAnsi="Arial" w:cs="Arial"/>
                <w:b/>
                <w:bCs/>
                <w:noProof/>
                <w:webHidden/>
                <w:sz w:val="20"/>
                <w:szCs w:val="20"/>
              </w:rPr>
            </w:r>
            <w:r w:rsidR="006B0F9C" w:rsidRPr="006B0F9C">
              <w:rPr>
                <w:rFonts w:ascii="Arial" w:hAnsi="Arial" w:cs="Arial"/>
                <w:b/>
                <w:bCs/>
                <w:noProof/>
                <w:webHidden/>
                <w:sz w:val="20"/>
                <w:szCs w:val="20"/>
              </w:rPr>
              <w:fldChar w:fldCharType="separate"/>
            </w:r>
            <w:r w:rsidR="006B0F9C" w:rsidRPr="006B0F9C">
              <w:rPr>
                <w:rFonts w:ascii="Arial" w:hAnsi="Arial" w:cs="Arial"/>
                <w:b/>
                <w:bCs/>
                <w:noProof/>
                <w:webHidden/>
                <w:sz w:val="20"/>
                <w:szCs w:val="20"/>
              </w:rPr>
              <w:t>2</w:t>
            </w:r>
            <w:r w:rsidR="006B0F9C" w:rsidRPr="006B0F9C">
              <w:rPr>
                <w:rFonts w:ascii="Arial" w:hAnsi="Arial" w:cs="Arial"/>
                <w:b/>
                <w:bCs/>
                <w:noProof/>
                <w:webHidden/>
                <w:sz w:val="20"/>
                <w:szCs w:val="20"/>
              </w:rPr>
              <w:fldChar w:fldCharType="end"/>
            </w:r>
          </w:hyperlink>
        </w:p>
        <w:p w14:paraId="23F7EAD5" w14:textId="4E9A8D44" w:rsidR="006B0F9C" w:rsidRPr="006B0F9C" w:rsidRDefault="006B0F9C">
          <w:pPr>
            <w:pStyle w:val="TDC1"/>
            <w:tabs>
              <w:tab w:val="left" w:pos="440"/>
              <w:tab w:val="right" w:leader="dot" w:pos="8828"/>
            </w:tabs>
            <w:rPr>
              <w:rFonts w:ascii="Arial" w:eastAsiaTheme="minorEastAsia" w:hAnsi="Arial" w:cs="Arial"/>
              <w:b/>
              <w:bCs/>
              <w:noProof/>
              <w:sz w:val="20"/>
              <w:szCs w:val="20"/>
              <w:lang w:eastAsia="es-CL"/>
            </w:rPr>
          </w:pPr>
          <w:hyperlink w:anchor="_Toc132277741" w:history="1">
            <w:r w:rsidRPr="006B0F9C">
              <w:rPr>
                <w:rStyle w:val="Hipervnculo"/>
                <w:rFonts w:ascii="Arial" w:hAnsi="Arial" w:cs="Arial"/>
                <w:b/>
                <w:bCs/>
                <w:noProof/>
                <w:sz w:val="20"/>
                <w:szCs w:val="20"/>
              </w:rPr>
              <w:t>2.</w:t>
            </w:r>
            <w:r w:rsidRPr="006B0F9C">
              <w:rPr>
                <w:rFonts w:ascii="Arial" w:eastAsiaTheme="minorEastAsia" w:hAnsi="Arial" w:cs="Arial"/>
                <w:b/>
                <w:bCs/>
                <w:noProof/>
                <w:sz w:val="20"/>
                <w:szCs w:val="20"/>
                <w:lang w:eastAsia="es-CL"/>
              </w:rPr>
              <w:tab/>
            </w:r>
            <w:r w:rsidRPr="006B0F9C">
              <w:rPr>
                <w:rStyle w:val="Hipervnculo"/>
                <w:rFonts w:ascii="Arial" w:hAnsi="Arial" w:cs="Arial"/>
                <w:b/>
                <w:bCs/>
                <w:noProof/>
                <w:sz w:val="20"/>
                <w:szCs w:val="20"/>
              </w:rPr>
              <w:t>ALCANCE</w:t>
            </w:r>
            <w:r w:rsidRPr="006B0F9C">
              <w:rPr>
                <w:rFonts w:ascii="Arial" w:hAnsi="Arial" w:cs="Arial"/>
                <w:b/>
                <w:bCs/>
                <w:noProof/>
                <w:webHidden/>
                <w:sz w:val="20"/>
                <w:szCs w:val="20"/>
              </w:rPr>
              <w:tab/>
            </w:r>
            <w:r w:rsidRPr="006B0F9C">
              <w:rPr>
                <w:rFonts w:ascii="Arial" w:hAnsi="Arial" w:cs="Arial"/>
                <w:b/>
                <w:bCs/>
                <w:noProof/>
                <w:webHidden/>
                <w:sz w:val="20"/>
                <w:szCs w:val="20"/>
              </w:rPr>
              <w:fldChar w:fldCharType="begin"/>
            </w:r>
            <w:r w:rsidRPr="006B0F9C">
              <w:rPr>
                <w:rFonts w:ascii="Arial" w:hAnsi="Arial" w:cs="Arial"/>
                <w:b/>
                <w:bCs/>
                <w:noProof/>
                <w:webHidden/>
                <w:sz w:val="20"/>
                <w:szCs w:val="20"/>
              </w:rPr>
              <w:instrText xml:space="preserve"> PAGEREF _Toc132277741 \h </w:instrText>
            </w:r>
            <w:r w:rsidRPr="006B0F9C">
              <w:rPr>
                <w:rFonts w:ascii="Arial" w:hAnsi="Arial" w:cs="Arial"/>
                <w:b/>
                <w:bCs/>
                <w:noProof/>
                <w:webHidden/>
                <w:sz w:val="20"/>
                <w:szCs w:val="20"/>
              </w:rPr>
            </w:r>
            <w:r w:rsidRPr="006B0F9C">
              <w:rPr>
                <w:rFonts w:ascii="Arial" w:hAnsi="Arial" w:cs="Arial"/>
                <w:b/>
                <w:bCs/>
                <w:noProof/>
                <w:webHidden/>
                <w:sz w:val="20"/>
                <w:szCs w:val="20"/>
              </w:rPr>
              <w:fldChar w:fldCharType="separate"/>
            </w:r>
            <w:r w:rsidRPr="006B0F9C">
              <w:rPr>
                <w:rFonts w:ascii="Arial" w:hAnsi="Arial" w:cs="Arial"/>
                <w:b/>
                <w:bCs/>
                <w:noProof/>
                <w:webHidden/>
                <w:sz w:val="20"/>
                <w:szCs w:val="20"/>
              </w:rPr>
              <w:t>2</w:t>
            </w:r>
            <w:r w:rsidRPr="006B0F9C">
              <w:rPr>
                <w:rFonts w:ascii="Arial" w:hAnsi="Arial" w:cs="Arial"/>
                <w:b/>
                <w:bCs/>
                <w:noProof/>
                <w:webHidden/>
                <w:sz w:val="20"/>
                <w:szCs w:val="20"/>
              </w:rPr>
              <w:fldChar w:fldCharType="end"/>
            </w:r>
          </w:hyperlink>
        </w:p>
        <w:p w14:paraId="78F8A0ED" w14:textId="26F4A296" w:rsidR="006B0F9C" w:rsidRPr="006B0F9C" w:rsidRDefault="006B0F9C">
          <w:pPr>
            <w:pStyle w:val="TDC1"/>
            <w:tabs>
              <w:tab w:val="left" w:pos="440"/>
              <w:tab w:val="right" w:leader="dot" w:pos="8828"/>
            </w:tabs>
            <w:rPr>
              <w:rFonts w:ascii="Arial" w:eastAsiaTheme="minorEastAsia" w:hAnsi="Arial" w:cs="Arial"/>
              <w:b/>
              <w:bCs/>
              <w:noProof/>
              <w:sz w:val="20"/>
              <w:szCs w:val="20"/>
              <w:lang w:eastAsia="es-CL"/>
            </w:rPr>
          </w:pPr>
          <w:hyperlink w:anchor="_Toc132277742" w:history="1">
            <w:r w:rsidRPr="006B0F9C">
              <w:rPr>
                <w:rStyle w:val="Hipervnculo"/>
                <w:rFonts w:ascii="Arial" w:hAnsi="Arial" w:cs="Arial"/>
                <w:b/>
                <w:bCs/>
                <w:noProof/>
                <w:sz w:val="20"/>
                <w:szCs w:val="20"/>
              </w:rPr>
              <w:t>3.</w:t>
            </w:r>
            <w:r w:rsidRPr="006B0F9C">
              <w:rPr>
                <w:rFonts w:ascii="Arial" w:eastAsiaTheme="minorEastAsia" w:hAnsi="Arial" w:cs="Arial"/>
                <w:b/>
                <w:bCs/>
                <w:noProof/>
                <w:sz w:val="20"/>
                <w:szCs w:val="20"/>
                <w:lang w:eastAsia="es-CL"/>
              </w:rPr>
              <w:tab/>
            </w:r>
            <w:r w:rsidRPr="006B0F9C">
              <w:rPr>
                <w:rStyle w:val="Hipervnculo"/>
                <w:rFonts w:ascii="Arial" w:hAnsi="Arial" w:cs="Arial"/>
                <w:b/>
                <w:bCs/>
                <w:noProof/>
                <w:sz w:val="20"/>
                <w:szCs w:val="20"/>
              </w:rPr>
              <w:t>DEFINICIÓN TOTEX</w:t>
            </w:r>
            <w:r w:rsidRPr="006B0F9C">
              <w:rPr>
                <w:rFonts w:ascii="Arial" w:hAnsi="Arial" w:cs="Arial"/>
                <w:b/>
                <w:bCs/>
                <w:noProof/>
                <w:webHidden/>
                <w:sz w:val="20"/>
                <w:szCs w:val="20"/>
              </w:rPr>
              <w:tab/>
            </w:r>
            <w:r w:rsidRPr="006B0F9C">
              <w:rPr>
                <w:rFonts w:ascii="Arial" w:hAnsi="Arial" w:cs="Arial"/>
                <w:b/>
                <w:bCs/>
                <w:noProof/>
                <w:webHidden/>
                <w:sz w:val="20"/>
                <w:szCs w:val="20"/>
              </w:rPr>
              <w:fldChar w:fldCharType="begin"/>
            </w:r>
            <w:r w:rsidRPr="006B0F9C">
              <w:rPr>
                <w:rFonts w:ascii="Arial" w:hAnsi="Arial" w:cs="Arial"/>
                <w:b/>
                <w:bCs/>
                <w:noProof/>
                <w:webHidden/>
                <w:sz w:val="20"/>
                <w:szCs w:val="20"/>
              </w:rPr>
              <w:instrText xml:space="preserve"> PAGEREF _Toc132277742 \h </w:instrText>
            </w:r>
            <w:r w:rsidRPr="006B0F9C">
              <w:rPr>
                <w:rFonts w:ascii="Arial" w:hAnsi="Arial" w:cs="Arial"/>
                <w:b/>
                <w:bCs/>
                <w:noProof/>
                <w:webHidden/>
                <w:sz w:val="20"/>
                <w:szCs w:val="20"/>
              </w:rPr>
            </w:r>
            <w:r w:rsidRPr="006B0F9C">
              <w:rPr>
                <w:rFonts w:ascii="Arial" w:hAnsi="Arial" w:cs="Arial"/>
                <w:b/>
                <w:bCs/>
                <w:noProof/>
                <w:webHidden/>
                <w:sz w:val="20"/>
                <w:szCs w:val="20"/>
              </w:rPr>
              <w:fldChar w:fldCharType="separate"/>
            </w:r>
            <w:r w:rsidRPr="006B0F9C">
              <w:rPr>
                <w:rFonts w:ascii="Arial" w:hAnsi="Arial" w:cs="Arial"/>
                <w:b/>
                <w:bCs/>
                <w:noProof/>
                <w:webHidden/>
                <w:sz w:val="20"/>
                <w:szCs w:val="20"/>
              </w:rPr>
              <w:t>2</w:t>
            </w:r>
            <w:r w:rsidRPr="006B0F9C">
              <w:rPr>
                <w:rFonts w:ascii="Arial" w:hAnsi="Arial" w:cs="Arial"/>
                <w:b/>
                <w:bCs/>
                <w:noProof/>
                <w:webHidden/>
                <w:sz w:val="20"/>
                <w:szCs w:val="20"/>
              </w:rPr>
              <w:fldChar w:fldCharType="end"/>
            </w:r>
          </w:hyperlink>
        </w:p>
        <w:p w14:paraId="7542A319" w14:textId="4DA08272" w:rsidR="006B0F9C" w:rsidRPr="006B0F9C" w:rsidRDefault="006B0F9C">
          <w:pPr>
            <w:pStyle w:val="TDC1"/>
            <w:tabs>
              <w:tab w:val="left" w:pos="440"/>
              <w:tab w:val="right" w:leader="dot" w:pos="8828"/>
            </w:tabs>
            <w:rPr>
              <w:rFonts w:ascii="Arial" w:eastAsiaTheme="minorEastAsia" w:hAnsi="Arial" w:cs="Arial"/>
              <w:b/>
              <w:bCs/>
              <w:noProof/>
              <w:sz w:val="20"/>
              <w:szCs w:val="20"/>
              <w:lang w:eastAsia="es-CL"/>
            </w:rPr>
          </w:pPr>
          <w:hyperlink w:anchor="_Toc132277743" w:history="1">
            <w:r w:rsidRPr="006B0F9C">
              <w:rPr>
                <w:rStyle w:val="Hipervnculo"/>
                <w:rFonts w:ascii="Arial" w:hAnsi="Arial" w:cs="Arial"/>
                <w:b/>
                <w:bCs/>
                <w:noProof/>
                <w:sz w:val="20"/>
                <w:szCs w:val="20"/>
              </w:rPr>
              <w:t>4.</w:t>
            </w:r>
            <w:r w:rsidRPr="006B0F9C">
              <w:rPr>
                <w:rFonts w:ascii="Arial" w:eastAsiaTheme="minorEastAsia" w:hAnsi="Arial" w:cs="Arial"/>
                <w:b/>
                <w:bCs/>
                <w:noProof/>
                <w:sz w:val="20"/>
                <w:szCs w:val="20"/>
                <w:lang w:eastAsia="es-CL"/>
              </w:rPr>
              <w:tab/>
            </w:r>
            <w:r w:rsidRPr="006B0F9C">
              <w:rPr>
                <w:rStyle w:val="Hipervnculo"/>
                <w:rFonts w:ascii="Arial" w:hAnsi="Arial" w:cs="Arial"/>
                <w:b/>
                <w:bCs/>
                <w:noProof/>
                <w:sz w:val="20"/>
                <w:szCs w:val="20"/>
              </w:rPr>
              <w:t>METODOLOGÍA PARA LA CONSTRUCCIÓN DEL TOTEX</w:t>
            </w:r>
            <w:r w:rsidRPr="006B0F9C">
              <w:rPr>
                <w:rFonts w:ascii="Arial" w:hAnsi="Arial" w:cs="Arial"/>
                <w:b/>
                <w:bCs/>
                <w:noProof/>
                <w:webHidden/>
                <w:sz w:val="20"/>
                <w:szCs w:val="20"/>
              </w:rPr>
              <w:tab/>
            </w:r>
            <w:r w:rsidRPr="006B0F9C">
              <w:rPr>
                <w:rFonts w:ascii="Arial" w:hAnsi="Arial" w:cs="Arial"/>
                <w:b/>
                <w:bCs/>
                <w:noProof/>
                <w:webHidden/>
                <w:sz w:val="20"/>
                <w:szCs w:val="20"/>
              </w:rPr>
              <w:fldChar w:fldCharType="begin"/>
            </w:r>
            <w:r w:rsidRPr="006B0F9C">
              <w:rPr>
                <w:rFonts w:ascii="Arial" w:hAnsi="Arial" w:cs="Arial"/>
                <w:b/>
                <w:bCs/>
                <w:noProof/>
                <w:webHidden/>
                <w:sz w:val="20"/>
                <w:szCs w:val="20"/>
              </w:rPr>
              <w:instrText xml:space="preserve"> PAGEREF _Toc132277743 \h </w:instrText>
            </w:r>
            <w:r w:rsidRPr="006B0F9C">
              <w:rPr>
                <w:rFonts w:ascii="Arial" w:hAnsi="Arial" w:cs="Arial"/>
                <w:b/>
                <w:bCs/>
                <w:noProof/>
                <w:webHidden/>
                <w:sz w:val="20"/>
                <w:szCs w:val="20"/>
              </w:rPr>
            </w:r>
            <w:r w:rsidRPr="006B0F9C">
              <w:rPr>
                <w:rFonts w:ascii="Arial" w:hAnsi="Arial" w:cs="Arial"/>
                <w:b/>
                <w:bCs/>
                <w:noProof/>
                <w:webHidden/>
                <w:sz w:val="20"/>
                <w:szCs w:val="20"/>
              </w:rPr>
              <w:fldChar w:fldCharType="separate"/>
            </w:r>
            <w:r w:rsidRPr="006B0F9C">
              <w:rPr>
                <w:rFonts w:ascii="Arial" w:hAnsi="Arial" w:cs="Arial"/>
                <w:b/>
                <w:bCs/>
                <w:noProof/>
                <w:webHidden/>
                <w:sz w:val="20"/>
                <w:szCs w:val="20"/>
              </w:rPr>
              <w:t>3</w:t>
            </w:r>
            <w:r w:rsidRPr="006B0F9C">
              <w:rPr>
                <w:rFonts w:ascii="Arial" w:hAnsi="Arial" w:cs="Arial"/>
                <w:b/>
                <w:bCs/>
                <w:noProof/>
                <w:webHidden/>
                <w:sz w:val="20"/>
                <w:szCs w:val="20"/>
              </w:rPr>
              <w:fldChar w:fldCharType="end"/>
            </w:r>
          </w:hyperlink>
        </w:p>
        <w:p w14:paraId="1877F1CB" w14:textId="6A344C17" w:rsidR="006B0F9C" w:rsidRPr="006B0F9C" w:rsidRDefault="006B0F9C">
          <w:pPr>
            <w:pStyle w:val="TDC2"/>
            <w:tabs>
              <w:tab w:val="left" w:pos="880"/>
              <w:tab w:val="right" w:leader="dot" w:pos="8828"/>
            </w:tabs>
            <w:rPr>
              <w:rFonts w:ascii="Arial" w:eastAsiaTheme="minorEastAsia" w:hAnsi="Arial" w:cs="Arial"/>
              <w:b/>
              <w:bCs/>
              <w:noProof/>
              <w:sz w:val="20"/>
              <w:szCs w:val="20"/>
              <w:lang w:eastAsia="es-CL"/>
            </w:rPr>
          </w:pPr>
          <w:hyperlink w:anchor="_Toc132277744" w:history="1">
            <w:r w:rsidRPr="006B0F9C">
              <w:rPr>
                <w:rStyle w:val="Hipervnculo"/>
                <w:rFonts w:ascii="Arial" w:hAnsi="Arial" w:cs="Arial"/>
                <w:b/>
                <w:bCs/>
                <w:noProof/>
                <w:sz w:val="20"/>
                <w:szCs w:val="20"/>
              </w:rPr>
              <w:t>4.1.</w:t>
            </w:r>
            <w:r w:rsidRPr="006B0F9C">
              <w:rPr>
                <w:rFonts w:ascii="Arial" w:eastAsiaTheme="minorEastAsia" w:hAnsi="Arial" w:cs="Arial"/>
                <w:b/>
                <w:bCs/>
                <w:noProof/>
                <w:sz w:val="20"/>
                <w:szCs w:val="20"/>
                <w:lang w:eastAsia="es-CL"/>
              </w:rPr>
              <w:tab/>
            </w:r>
            <w:r w:rsidRPr="006B0F9C">
              <w:rPr>
                <w:rStyle w:val="Hipervnculo"/>
                <w:rFonts w:ascii="Arial" w:hAnsi="Arial" w:cs="Arial"/>
                <w:b/>
                <w:bCs/>
                <w:noProof/>
                <w:sz w:val="20"/>
                <w:szCs w:val="20"/>
              </w:rPr>
              <w:t>ACTIVOS NUEVOS: NUEVOS PROYECTOS O AMPLIACIONES</w:t>
            </w:r>
            <w:r w:rsidRPr="006B0F9C">
              <w:rPr>
                <w:rFonts w:ascii="Arial" w:hAnsi="Arial" w:cs="Arial"/>
                <w:b/>
                <w:bCs/>
                <w:noProof/>
                <w:webHidden/>
                <w:sz w:val="20"/>
                <w:szCs w:val="20"/>
              </w:rPr>
              <w:tab/>
            </w:r>
            <w:r w:rsidRPr="006B0F9C">
              <w:rPr>
                <w:rFonts w:ascii="Arial" w:hAnsi="Arial" w:cs="Arial"/>
                <w:b/>
                <w:bCs/>
                <w:noProof/>
                <w:webHidden/>
                <w:sz w:val="20"/>
                <w:szCs w:val="20"/>
              </w:rPr>
              <w:fldChar w:fldCharType="begin"/>
            </w:r>
            <w:r w:rsidRPr="006B0F9C">
              <w:rPr>
                <w:rFonts w:ascii="Arial" w:hAnsi="Arial" w:cs="Arial"/>
                <w:b/>
                <w:bCs/>
                <w:noProof/>
                <w:webHidden/>
                <w:sz w:val="20"/>
                <w:szCs w:val="20"/>
              </w:rPr>
              <w:instrText xml:space="preserve"> PAGEREF _Toc132277744 \h </w:instrText>
            </w:r>
            <w:r w:rsidRPr="006B0F9C">
              <w:rPr>
                <w:rFonts w:ascii="Arial" w:hAnsi="Arial" w:cs="Arial"/>
                <w:b/>
                <w:bCs/>
                <w:noProof/>
                <w:webHidden/>
                <w:sz w:val="20"/>
                <w:szCs w:val="20"/>
              </w:rPr>
            </w:r>
            <w:r w:rsidRPr="006B0F9C">
              <w:rPr>
                <w:rFonts w:ascii="Arial" w:hAnsi="Arial" w:cs="Arial"/>
                <w:b/>
                <w:bCs/>
                <w:noProof/>
                <w:webHidden/>
                <w:sz w:val="20"/>
                <w:szCs w:val="20"/>
              </w:rPr>
              <w:fldChar w:fldCharType="separate"/>
            </w:r>
            <w:r w:rsidRPr="006B0F9C">
              <w:rPr>
                <w:rFonts w:ascii="Arial" w:hAnsi="Arial" w:cs="Arial"/>
                <w:b/>
                <w:bCs/>
                <w:noProof/>
                <w:webHidden/>
                <w:sz w:val="20"/>
                <w:szCs w:val="20"/>
              </w:rPr>
              <w:t>3</w:t>
            </w:r>
            <w:r w:rsidRPr="006B0F9C">
              <w:rPr>
                <w:rFonts w:ascii="Arial" w:hAnsi="Arial" w:cs="Arial"/>
                <w:b/>
                <w:bCs/>
                <w:noProof/>
                <w:webHidden/>
                <w:sz w:val="20"/>
                <w:szCs w:val="20"/>
              </w:rPr>
              <w:fldChar w:fldCharType="end"/>
            </w:r>
          </w:hyperlink>
        </w:p>
        <w:p w14:paraId="4C83A807" w14:textId="677EF01A" w:rsidR="006B0F9C" w:rsidRPr="006B0F9C" w:rsidRDefault="006B0F9C">
          <w:pPr>
            <w:pStyle w:val="TDC2"/>
            <w:tabs>
              <w:tab w:val="left" w:pos="880"/>
              <w:tab w:val="right" w:leader="dot" w:pos="8828"/>
            </w:tabs>
            <w:rPr>
              <w:rFonts w:ascii="Arial" w:eastAsiaTheme="minorEastAsia" w:hAnsi="Arial" w:cs="Arial"/>
              <w:b/>
              <w:bCs/>
              <w:noProof/>
              <w:sz w:val="20"/>
              <w:szCs w:val="20"/>
              <w:lang w:eastAsia="es-CL"/>
            </w:rPr>
          </w:pPr>
          <w:hyperlink w:anchor="_Toc132277745" w:history="1">
            <w:r w:rsidRPr="006B0F9C">
              <w:rPr>
                <w:rStyle w:val="Hipervnculo"/>
                <w:rFonts w:ascii="Arial" w:hAnsi="Arial" w:cs="Arial"/>
                <w:b/>
                <w:bCs/>
                <w:noProof/>
                <w:sz w:val="20"/>
                <w:szCs w:val="20"/>
              </w:rPr>
              <w:t>4.2.</w:t>
            </w:r>
            <w:r w:rsidRPr="006B0F9C">
              <w:rPr>
                <w:rFonts w:ascii="Arial" w:eastAsiaTheme="minorEastAsia" w:hAnsi="Arial" w:cs="Arial"/>
                <w:b/>
                <w:bCs/>
                <w:noProof/>
                <w:sz w:val="20"/>
                <w:szCs w:val="20"/>
                <w:lang w:eastAsia="es-CL"/>
              </w:rPr>
              <w:tab/>
            </w:r>
            <w:r w:rsidRPr="006B0F9C">
              <w:rPr>
                <w:rStyle w:val="Hipervnculo"/>
                <w:rFonts w:ascii="Arial" w:hAnsi="Arial" w:cs="Arial"/>
                <w:b/>
                <w:bCs/>
                <w:noProof/>
                <w:sz w:val="20"/>
                <w:szCs w:val="20"/>
              </w:rPr>
              <w:t>ACTIVOS EXISTENTES: EVALUACIÓN DE ALTERNATIVAS ENTRE EXTENSIÓN DEL CICLO DE VIDA O RENOVACIÓN DEL ACTIVO</w:t>
            </w:r>
            <w:r w:rsidRPr="006B0F9C">
              <w:rPr>
                <w:rFonts w:ascii="Arial" w:hAnsi="Arial" w:cs="Arial"/>
                <w:b/>
                <w:bCs/>
                <w:noProof/>
                <w:webHidden/>
                <w:sz w:val="20"/>
                <w:szCs w:val="20"/>
              </w:rPr>
              <w:tab/>
            </w:r>
            <w:r w:rsidRPr="006B0F9C">
              <w:rPr>
                <w:rFonts w:ascii="Arial" w:hAnsi="Arial" w:cs="Arial"/>
                <w:b/>
                <w:bCs/>
                <w:noProof/>
                <w:webHidden/>
                <w:sz w:val="20"/>
                <w:szCs w:val="20"/>
              </w:rPr>
              <w:fldChar w:fldCharType="begin"/>
            </w:r>
            <w:r w:rsidRPr="006B0F9C">
              <w:rPr>
                <w:rFonts w:ascii="Arial" w:hAnsi="Arial" w:cs="Arial"/>
                <w:b/>
                <w:bCs/>
                <w:noProof/>
                <w:webHidden/>
                <w:sz w:val="20"/>
                <w:szCs w:val="20"/>
              </w:rPr>
              <w:instrText xml:space="preserve"> PAGEREF _Toc132277745 \h </w:instrText>
            </w:r>
            <w:r w:rsidRPr="006B0F9C">
              <w:rPr>
                <w:rFonts w:ascii="Arial" w:hAnsi="Arial" w:cs="Arial"/>
                <w:b/>
                <w:bCs/>
                <w:noProof/>
                <w:webHidden/>
                <w:sz w:val="20"/>
                <w:szCs w:val="20"/>
              </w:rPr>
            </w:r>
            <w:r w:rsidRPr="006B0F9C">
              <w:rPr>
                <w:rFonts w:ascii="Arial" w:hAnsi="Arial" w:cs="Arial"/>
                <w:b/>
                <w:bCs/>
                <w:noProof/>
                <w:webHidden/>
                <w:sz w:val="20"/>
                <w:szCs w:val="20"/>
              </w:rPr>
              <w:fldChar w:fldCharType="separate"/>
            </w:r>
            <w:r w:rsidRPr="006B0F9C">
              <w:rPr>
                <w:rFonts w:ascii="Arial" w:hAnsi="Arial" w:cs="Arial"/>
                <w:b/>
                <w:bCs/>
                <w:noProof/>
                <w:webHidden/>
                <w:sz w:val="20"/>
                <w:szCs w:val="20"/>
              </w:rPr>
              <w:t>5</w:t>
            </w:r>
            <w:r w:rsidRPr="006B0F9C">
              <w:rPr>
                <w:rFonts w:ascii="Arial" w:hAnsi="Arial" w:cs="Arial"/>
                <w:b/>
                <w:bCs/>
                <w:noProof/>
                <w:webHidden/>
                <w:sz w:val="20"/>
                <w:szCs w:val="20"/>
              </w:rPr>
              <w:fldChar w:fldCharType="end"/>
            </w:r>
          </w:hyperlink>
        </w:p>
        <w:p w14:paraId="71D1DF9E" w14:textId="4D1765E0" w:rsidR="006B0F9C" w:rsidRPr="006B0F9C" w:rsidRDefault="006B0F9C">
          <w:pPr>
            <w:pStyle w:val="TDC2"/>
            <w:tabs>
              <w:tab w:val="left" w:pos="880"/>
              <w:tab w:val="right" w:leader="dot" w:pos="8828"/>
            </w:tabs>
            <w:rPr>
              <w:rFonts w:ascii="Arial" w:eastAsiaTheme="minorEastAsia" w:hAnsi="Arial" w:cs="Arial"/>
              <w:b/>
              <w:bCs/>
              <w:noProof/>
              <w:sz w:val="20"/>
              <w:szCs w:val="20"/>
              <w:lang w:eastAsia="es-CL"/>
            </w:rPr>
          </w:pPr>
          <w:hyperlink w:anchor="_Toc132277746" w:history="1">
            <w:r w:rsidRPr="006B0F9C">
              <w:rPr>
                <w:rStyle w:val="Hipervnculo"/>
                <w:rFonts w:ascii="Arial" w:hAnsi="Arial" w:cs="Arial"/>
                <w:b/>
                <w:bCs/>
                <w:noProof/>
                <w:sz w:val="20"/>
                <w:szCs w:val="20"/>
              </w:rPr>
              <w:t>4.3.</w:t>
            </w:r>
            <w:r w:rsidRPr="006B0F9C">
              <w:rPr>
                <w:rFonts w:ascii="Arial" w:eastAsiaTheme="minorEastAsia" w:hAnsi="Arial" w:cs="Arial"/>
                <w:b/>
                <w:bCs/>
                <w:noProof/>
                <w:sz w:val="20"/>
                <w:szCs w:val="20"/>
                <w:lang w:eastAsia="es-CL"/>
              </w:rPr>
              <w:tab/>
            </w:r>
            <w:r w:rsidRPr="006B0F9C">
              <w:rPr>
                <w:rStyle w:val="Hipervnculo"/>
                <w:rFonts w:ascii="Arial" w:hAnsi="Arial" w:cs="Arial"/>
                <w:b/>
                <w:bCs/>
                <w:noProof/>
                <w:sz w:val="20"/>
                <w:szCs w:val="20"/>
              </w:rPr>
              <w:t>TOMA DE DECISIONES</w:t>
            </w:r>
            <w:r w:rsidRPr="006B0F9C">
              <w:rPr>
                <w:rFonts w:ascii="Arial" w:hAnsi="Arial" w:cs="Arial"/>
                <w:b/>
                <w:bCs/>
                <w:noProof/>
                <w:webHidden/>
                <w:sz w:val="20"/>
                <w:szCs w:val="20"/>
              </w:rPr>
              <w:tab/>
            </w:r>
            <w:r w:rsidRPr="006B0F9C">
              <w:rPr>
                <w:rFonts w:ascii="Arial" w:hAnsi="Arial" w:cs="Arial"/>
                <w:b/>
                <w:bCs/>
                <w:noProof/>
                <w:webHidden/>
                <w:sz w:val="20"/>
                <w:szCs w:val="20"/>
              </w:rPr>
              <w:fldChar w:fldCharType="begin"/>
            </w:r>
            <w:r w:rsidRPr="006B0F9C">
              <w:rPr>
                <w:rFonts w:ascii="Arial" w:hAnsi="Arial" w:cs="Arial"/>
                <w:b/>
                <w:bCs/>
                <w:noProof/>
                <w:webHidden/>
                <w:sz w:val="20"/>
                <w:szCs w:val="20"/>
              </w:rPr>
              <w:instrText xml:space="preserve"> PAGEREF _Toc132277746 \h </w:instrText>
            </w:r>
            <w:r w:rsidRPr="006B0F9C">
              <w:rPr>
                <w:rFonts w:ascii="Arial" w:hAnsi="Arial" w:cs="Arial"/>
                <w:b/>
                <w:bCs/>
                <w:noProof/>
                <w:webHidden/>
                <w:sz w:val="20"/>
                <w:szCs w:val="20"/>
              </w:rPr>
            </w:r>
            <w:r w:rsidRPr="006B0F9C">
              <w:rPr>
                <w:rFonts w:ascii="Arial" w:hAnsi="Arial" w:cs="Arial"/>
                <w:b/>
                <w:bCs/>
                <w:noProof/>
                <w:webHidden/>
                <w:sz w:val="20"/>
                <w:szCs w:val="20"/>
              </w:rPr>
              <w:fldChar w:fldCharType="separate"/>
            </w:r>
            <w:r w:rsidRPr="006B0F9C">
              <w:rPr>
                <w:rFonts w:ascii="Arial" w:hAnsi="Arial" w:cs="Arial"/>
                <w:b/>
                <w:bCs/>
                <w:noProof/>
                <w:webHidden/>
                <w:sz w:val="20"/>
                <w:szCs w:val="20"/>
              </w:rPr>
              <w:t>6</w:t>
            </w:r>
            <w:r w:rsidRPr="006B0F9C">
              <w:rPr>
                <w:rFonts w:ascii="Arial" w:hAnsi="Arial" w:cs="Arial"/>
                <w:b/>
                <w:bCs/>
                <w:noProof/>
                <w:webHidden/>
                <w:sz w:val="20"/>
                <w:szCs w:val="20"/>
              </w:rPr>
              <w:fldChar w:fldCharType="end"/>
            </w:r>
          </w:hyperlink>
        </w:p>
        <w:p w14:paraId="1B7CB0C1" w14:textId="25F13C62" w:rsidR="006B0F9C" w:rsidRPr="006B0F9C" w:rsidRDefault="006B0F9C">
          <w:pPr>
            <w:pStyle w:val="TDC2"/>
            <w:tabs>
              <w:tab w:val="left" w:pos="880"/>
              <w:tab w:val="right" w:leader="dot" w:pos="8828"/>
            </w:tabs>
            <w:rPr>
              <w:rFonts w:ascii="Arial" w:eastAsiaTheme="minorEastAsia" w:hAnsi="Arial" w:cs="Arial"/>
              <w:b/>
              <w:bCs/>
              <w:noProof/>
              <w:sz w:val="20"/>
              <w:szCs w:val="20"/>
              <w:lang w:eastAsia="es-CL"/>
            </w:rPr>
          </w:pPr>
          <w:hyperlink w:anchor="_Toc132277747" w:history="1">
            <w:r w:rsidRPr="006B0F9C">
              <w:rPr>
                <w:rStyle w:val="Hipervnculo"/>
                <w:rFonts w:ascii="Arial" w:hAnsi="Arial" w:cs="Arial"/>
                <w:b/>
                <w:bCs/>
                <w:noProof/>
                <w:sz w:val="20"/>
                <w:szCs w:val="20"/>
              </w:rPr>
              <w:t>4.4.</w:t>
            </w:r>
            <w:r w:rsidRPr="006B0F9C">
              <w:rPr>
                <w:rFonts w:ascii="Arial" w:eastAsiaTheme="minorEastAsia" w:hAnsi="Arial" w:cs="Arial"/>
                <w:b/>
                <w:bCs/>
                <w:noProof/>
                <w:sz w:val="20"/>
                <w:szCs w:val="20"/>
                <w:lang w:eastAsia="es-CL"/>
              </w:rPr>
              <w:tab/>
            </w:r>
            <w:r w:rsidRPr="006B0F9C">
              <w:rPr>
                <w:rStyle w:val="Hipervnculo"/>
                <w:rFonts w:ascii="Arial" w:hAnsi="Arial" w:cs="Arial"/>
                <w:b/>
                <w:bCs/>
                <w:noProof/>
                <w:sz w:val="20"/>
                <w:szCs w:val="20"/>
              </w:rPr>
              <w:t>SEGUIMIENTO Y EVALUACIÓN</w:t>
            </w:r>
            <w:r w:rsidRPr="006B0F9C">
              <w:rPr>
                <w:rFonts w:ascii="Arial" w:hAnsi="Arial" w:cs="Arial"/>
                <w:b/>
                <w:bCs/>
                <w:noProof/>
                <w:webHidden/>
                <w:sz w:val="20"/>
                <w:szCs w:val="20"/>
              </w:rPr>
              <w:tab/>
            </w:r>
            <w:r w:rsidRPr="006B0F9C">
              <w:rPr>
                <w:rFonts w:ascii="Arial" w:hAnsi="Arial" w:cs="Arial"/>
                <w:b/>
                <w:bCs/>
                <w:noProof/>
                <w:webHidden/>
                <w:sz w:val="20"/>
                <w:szCs w:val="20"/>
              </w:rPr>
              <w:fldChar w:fldCharType="begin"/>
            </w:r>
            <w:r w:rsidRPr="006B0F9C">
              <w:rPr>
                <w:rFonts w:ascii="Arial" w:hAnsi="Arial" w:cs="Arial"/>
                <w:b/>
                <w:bCs/>
                <w:noProof/>
                <w:webHidden/>
                <w:sz w:val="20"/>
                <w:szCs w:val="20"/>
              </w:rPr>
              <w:instrText xml:space="preserve"> PAGEREF _Toc132277747 \h </w:instrText>
            </w:r>
            <w:r w:rsidRPr="006B0F9C">
              <w:rPr>
                <w:rFonts w:ascii="Arial" w:hAnsi="Arial" w:cs="Arial"/>
                <w:b/>
                <w:bCs/>
                <w:noProof/>
                <w:webHidden/>
                <w:sz w:val="20"/>
                <w:szCs w:val="20"/>
              </w:rPr>
            </w:r>
            <w:r w:rsidRPr="006B0F9C">
              <w:rPr>
                <w:rFonts w:ascii="Arial" w:hAnsi="Arial" w:cs="Arial"/>
                <w:b/>
                <w:bCs/>
                <w:noProof/>
                <w:webHidden/>
                <w:sz w:val="20"/>
                <w:szCs w:val="20"/>
              </w:rPr>
              <w:fldChar w:fldCharType="separate"/>
            </w:r>
            <w:r w:rsidRPr="006B0F9C">
              <w:rPr>
                <w:rFonts w:ascii="Arial" w:hAnsi="Arial" w:cs="Arial"/>
                <w:b/>
                <w:bCs/>
                <w:noProof/>
                <w:webHidden/>
                <w:sz w:val="20"/>
                <w:szCs w:val="20"/>
              </w:rPr>
              <w:t>6</w:t>
            </w:r>
            <w:r w:rsidRPr="006B0F9C">
              <w:rPr>
                <w:rFonts w:ascii="Arial" w:hAnsi="Arial" w:cs="Arial"/>
                <w:b/>
                <w:bCs/>
                <w:noProof/>
                <w:webHidden/>
                <w:sz w:val="20"/>
                <w:szCs w:val="20"/>
              </w:rPr>
              <w:fldChar w:fldCharType="end"/>
            </w:r>
          </w:hyperlink>
        </w:p>
        <w:p w14:paraId="19959570" w14:textId="78443D17" w:rsidR="006B0F9C" w:rsidRPr="006B0F9C" w:rsidRDefault="006B0F9C">
          <w:pPr>
            <w:pStyle w:val="TDC1"/>
            <w:tabs>
              <w:tab w:val="left" w:pos="440"/>
              <w:tab w:val="right" w:leader="dot" w:pos="8828"/>
            </w:tabs>
            <w:rPr>
              <w:rFonts w:ascii="Arial" w:eastAsiaTheme="minorEastAsia" w:hAnsi="Arial" w:cs="Arial"/>
              <w:b/>
              <w:bCs/>
              <w:noProof/>
              <w:sz w:val="20"/>
              <w:szCs w:val="20"/>
              <w:lang w:eastAsia="es-CL"/>
            </w:rPr>
          </w:pPr>
          <w:hyperlink w:anchor="_Toc132277748" w:history="1">
            <w:r w:rsidRPr="006B0F9C">
              <w:rPr>
                <w:rStyle w:val="Hipervnculo"/>
                <w:rFonts w:ascii="Arial" w:hAnsi="Arial" w:cs="Arial"/>
                <w:b/>
                <w:bCs/>
                <w:noProof/>
                <w:sz w:val="20"/>
                <w:szCs w:val="20"/>
              </w:rPr>
              <w:t>5.</w:t>
            </w:r>
            <w:r w:rsidRPr="006B0F9C">
              <w:rPr>
                <w:rFonts w:ascii="Arial" w:eastAsiaTheme="minorEastAsia" w:hAnsi="Arial" w:cs="Arial"/>
                <w:b/>
                <w:bCs/>
                <w:noProof/>
                <w:sz w:val="20"/>
                <w:szCs w:val="20"/>
                <w:lang w:eastAsia="es-CL"/>
              </w:rPr>
              <w:tab/>
            </w:r>
            <w:r w:rsidRPr="006B0F9C">
              <w:rPr>
                <w:rStyle w:val="Hipervnculo"/>
                <w:rFonts w:ascii="Arial" w:hAnsi="Arial" w:cs="Arial"/>
                <w:b/>
                <w:bCs/>
                <w:noProof/>
                <w:sz w:val="20"/>
                <w:szCs w:val="20"/>
              </w:rPr>
              <w:t>CONTROL DE REVISIONES Y APROBACIONES</w:t>
            </w:r>
            <w:r w:rsidRPr="006B0F9C">
              <w:rPr>
                <w:rFonts w:ascii="Arial" w:hAnsi="Arial" w:cs="Arial"/>
                <w:b/>
                <w:bCs/>
                <w:noProof/>
                <w:webHidden/>
                <w:sz w:val="20"/>
                <w:szCs w:val="20"/>
              </w:rPr>
              <w:tab/>
            </w:r>
            <w:r w:rsidRPr="006B0F9C">
              <w:rPr>
                <w:rFonts w:ascii="Arial" w:hAnsi="Arial" w:cs="Arial"/>
                <w:b/>
                <w:bCs/>
                <w:noProof/>
                <w:webHidden/>
                <w:sz w:val="20"/>
                <w:szCs w:val="20"/>
              </w:rPr>
              <w:fldChar w:fldCharType="begin"/>
            </w:r>
            <w:r w:rsidRPr="006B0F9C">
              <w:rPr>
                <w:rFonts w:ascii="Arial" w:hAnsi="Arial" w:cs="Arial"/>
                <w:b/>
                <w:bCs/>
                <w:noProof/>
                <w:webHidden/>
                <w:sz w:val="20"/>
                <w:szCs w:val="20"/>
              </w:rPr>
              <w:instrText xml:space="preserve"> PAGEREF _Toc132277748 \h </w:instrText>
            </w:r>
            <w:r w:rsidRPr="006B0F9C">
              <w:rPr>
                <w:rFonts w:ascii="Arial" w:hAnsi="Arial" w:cs="Arial"/>
                <w:b/>
                <w:bCs/>
                <w:noProof/>
                <w:webHidden/>
                <w:sz w:val="20"/>
                <w:szCs w:val="20"/>
              </w:rPr>
            </w:r>
            <w:r w:rsidRPr="006B0F9C">
              <w:rPr>
                <w:rFonts w:ascii="Arial" w:hAnsi="Arial" w:cs="Arial"/>
                <w:b/>
                <w:bCs/>
                <w:noProof/>
                <w:webHidden/>
                <w:sz w:val="20"/>
                <w:szCs w:val="20"/>
              </w:rPr>
              <w:fldChar w:fldCharType="separate"/>
            </w:r>
            <w:r w:rsidRPr="006B0F9C">
              <w:rPr>
                <w:rFonts w:ascii="Arial" w:hAnsi="Arial" w:cs="Arial"/>
                <w:b/>
                <w:bCs/>
                <w:noProof/>
                <w:webHidden/>
                <w:sz w:val="20"/>
                <w:szCs w:val="20"/>
              </w:rPr>
              <w:t>6</w:t>
            </w:r>
            <w:r w:rsidRPr="006B0F9C">
              <w:rPr>
                <w:rFonts w:ascii="Arial" w:hAnsi="Arial" w:cs="Arial"/>
                <w:b/>
                <w:bCs/>
                <w:noProof/>
                <w:webHidden/>
                <w:sz w:val="20"/>
                <w:szCs w:val="20"/>
              </w:rPr>
              <w:fldChar w:fldCharType="end"/>
            </w:r>
          </w:hyperlink>
        </w:p>
        <w:p w14:paraId="6287F724" w14:textId="1A929B71" w:rsidR="0008626D" w:rsidRDefault="0008626D">
          <w:r w:rsidRPr="00A162B8">
            <w:rPr>
              <w:rFonts w:ascii="Arial" w:hAnsi="Arial" w:cs="Arial"/>
              <w:b/>
              <w:bCs/>
              <w:sz w:val="20"/>
              <w:szCs w:val="20"/>
              <w:lang w:val="es-ES"/>
            </w:rPr>
            <w:fldChar w:fldCharType="end"/>
          </w:r>
        </w:p>
      </w:sdtContent>
    </w:sdt>
    <w:p w14:paraId="1B4C10F9" w14:textId="79C2CD28" w:rsidR="00E67653" w:rsidRPr="0008626D" w:rsidRDefault="00E67653" w:rsidP="0008626D">
      <w:pPr>
        <w:spacing w:after="0"/>
        <w:rPr>
          <w:rFonts w:ascii="Arial" w:hAnsi="Arial" w:cs="Arial"/>
          <w:sz w:val="20"/>
          <w:szCs w:val="20"/>
        </w:rPr>
      </w:pPr>
    </w:p>
    <w:p w14:paraId="69A49133" w14:textId="33C2C37F" w:rsidR="00E67653" w:rsidRPr="0008626D" w:rsidRDefault="00E67653" w:rsidP="331CDB72">
      <w:pPr>
        <w:spacing w:after="0"/>
        <w:jc w:val="center"/>
        <w:rPr>
          <w:rFonts w:ascii="Arial" w:hAnsi="Arial" w:cs="Arial"/>
          <w:sz w:val="20"/>
          <w:szCs w:val="20"/>
        </w:rPr>
      </w:pPr>
    </w:p>
    <w:p w14:paraId="4BEB1F9A" w14:textId="399C8FA3" w:rsidR="00D603A5" w:rsidRDefault="00D603A5" w:rsidP="00300BFF">
      <w:pPr>
        <w:spacing w:after="0"/>
        <w:jc w:val="both"/>
        <w:rPr>
          <w:rFonts w:ascii="Arial" w:hAnsi="Arial" w:cs="Arial"/>
          <w:sz w:val="20"/>
          <w:szCs w:val="20"/>
        </w:rPr>
      </w:pPr>
    </w:p>
    <w:p w14:paraId="463F369B" w14:textId="0B32B095" w:rsidR="00A162B8" w:rsidRDefault="00A162B8">
      <w:pPr>
        <w:rPr>
          <w:rFonts w:ascii="Arial" w:hAnsi="Arial" w:cs="Arial"/>
          <w:sz w:val="20"/>
          <w:szCs w:val="20"/>
        </w:rPr>
      </w:pPr>
      <w:r>
        <w:rPr>
          <w:rFonts w:ascii="Arial" w:hAnsi="Arial" w:cs="Arial"/>
          <w:sz w:val="20"/>
          <w:szCs w:val="20"/>
        </w:rPr>
        <w:br w:type="page"/>
      </w:r>
    </w:p>
    <w:p w14:paraId="2AB4A0AC" w14:textId="69D01EDA" w:rsidR="0095699C" w:rsidRPr="00AC6D51" w:rsidRDefault="0095699C" w:rsidP="0008626D">
      <w:pPr>
        <w:pStyle w:val="Prrafodelista"/>
        <w:numPr>
          <w:ilvl w:val="0"/>
          <w:numId w:val="6"/>
        </w:numPr>
        <w:spacing w:after="0"/>
        <w:jc w:val="both"/>
        <w:outlineLvl w:val="0"/>
        <w:rPr>
          <w:rFonts w:ascii="Arial" w:hAnsi="Arial" w:cs="Arial"/>
          <w:b/>
          <w:bCs/>
          <w:sz w:val="20"/>
          <w:szCs w:val="20"/>
        </w:rPr>
      </w:pPr>
      <w:bookmarkStart w:id="0" w:name="_Toc132277740"/>
      <w:r w:rsidRPr="00AC6D51">
        <w:rPr>
          <w:rFonts w:ascii="Arial" w:hAnsi="Arial" w:cs="Arial"/>
          <w:b/>
          <w:bCs/>
          <w:sz w:val="20"/>
          <w:szCs w:val="20"/>
        </w:rPr>
        <w:lastRenderedPageBreak/>
        <w:t>OBJETIVO</w:t>
      </w:r>
      <w:bookmarkEnd w:id="0"/>
    </w:p>
    <w:p w14:paraId="2684A0D8" w14:textId="77777777" w:rsidR="00C66D8F" w:rsidRDefault="00C66D8F" w:rsidP="00300BFF">
      <w:pPr>
        <w:spacing w:after="0"/>
        <w:jc w:val="both"/>
        <w:rPr>
          <w:rFonts w:ascii="Arial" w:hAnsi="Arial" w:cs="Arial"/>
          <w:sz w:val="20"/>
          <w:szCs w:val="20"/>
        </w:rPr>
      </w:pPr>
    </w:p>
    <w:p w14:paraId="515B62BA" w14:textId="46E050B2" w:rsidR="004A72D8" w:rsidRDefault="0095699C" w:rsidP="00300BFF">
      <w:pPr>
        <w:spacing w:after="0"/>
        <w:jc w:val="both"/>
        <w:rPr>
          <w:rFonts w:ascii="Arial" w:hAnsi="Arial" w:cs="Arial"/>
          <w:sz w:val="20"/>
          <w:szCs w:val="20"/>
        </w:rPr>
      </w:pPr>
      <w:r w:rsidRPr="0095699C">
        <w:rPr>
          <w:rFonts w:ascii="Arial" w:hAnsi="Arial" w:cs="Arial"/>
          <w:sz w:val="20"/>
          <w:szCs w:val="20"/>
        </w:rPr>
        <w:t xml:space="preserve">Este documento establece una metodología para el cálculo del costo del ciclo de vida o </w:t>
      </w:r>
      <w:r w:rsidRPr="00362EE7">
        <w:rPr>
          <w:rFonts w:ascii="Arial" w:hAnsi="Arial" w:cs="Arial"/>
          <w:i/>
          <w:iCs/>
          <w:sz w:val="20"/>
          <w:szCs w:val="20"/>
        </w:rPr>
        <w:t xml:space="preserve">Total </w:t>
      </w:r>
      <w:proofErr w:type="spellStart"/>
      <w:r w:rsidRPr="00362EE7">
        <w:rPr>
          <w:rFonts w:ascii="Arial" w:hAnsi="Arial" w:cs="Arial"/>
          <w:i/>
          <w:iCs/>
          <w:sz w:val="20"/>
          <w:szCs w:val="20"/>
        </w:rPr>
        <w:t>Expenditure</w:t>
      </w:r>
      <w:proofErr w:type="spellEnd"/>
      <w:r w:rsidRPr="0095699C">
        <w:rPr>
          <w:rFonts w:ascii="Arial" w:hAnsi="Arial" w:cs="Arial"/>
          <w:sz w:val="20"/>
          <w:szCs w:val="20"/>
        </w:rPr>
        <w:t xml:space="preserve"> (TOTEX), entendiendo por esto la construcción y/o recopilación de la información histórica y/o proyectada de los costos y gastos de los activos o un activo específico de la empresa</w:t>
      </w:r>
      <w:r w:rsidR="00255FB9">
        <w:rPr>
          <w:rFonts w:ascii="Arial" w:hAnsi="Arial" w:cs="Arial"/>
          <w:sz w:val="20"/>
          <w:szCs w:val="20"/>
        </w:rPr>
        <w:t xml:space="preserve"> </w:t>
      </w:r>
      <w:r w:rsidRPr="0095699C">
        <w:rPr>
          <w:rFonts w:ascii="Arial" w:hAnsi="Arial" w:cs="Arial"/>
          <w:sz w:val="20"/>
          <w:szCs w:val="20"/>
        </w:rPr>
        <w:t xml:space="preserve">en el ciclo de vida, para efectos de soportar la apropiada toma de decisiones basadas en los criterios de costo, riesgo y desempeño, incorporando elementos técnicos y financieros desde un enfoque de largo plazo, buscando la generación de valor para la empresa y el Grupo ISA. </w:t>
      </w:r>
    </w:p>
    <w:p w14:paraId="2A55CC42" w14:textId="0A90CBB9" w:rsidR="00EE0188" w:rsidRDefault="0095699C" w:rsidP="00300BFF">
      <w:pPr>
        <w:spacing w:after="0"/>
        <w:jc w:val="both"/>
        <w:rPr>
          <w:rFonts w:ascii="Arial" w:hAnsi="Arial" w:cs="Arial"/>
          <w:sz w:val="20"/>
          <w:szCs w:val="20"/>
        </w:rPr>
      </w:pPr>
      <w:r w:rsidRPr="0095699C">
        <w:rPr>
          <w:rFonts w:ascii="Arial" w:hAnsi="Arial" w:cs="Arial"/>
          <w:sz w:val="20"/>
          <w:szCs w:val="20"/>
        </w:rPr>
        <w:t xml:space="preserve">La metodología de costeo del ciclo de vida de los activos (TOTEX) es una herramienta que apoya la toma de decisiones relacionadas con la creación (diseño, compra, construcción), extensiones de vida útil, reemplazos o mejoras, mantenimiento, </w:t>
      </w:r>
      <w:r w:rsidR="00074628">
        <w:rPr>
          <w:rFonts w:ascii="Arial" w:hAnsi="Arial" w:cs="Arial"/>
          <w:sz w:val="20"/>
          <w:szCs w:val="20"/>
        </w:rPr>
        <w:t>repotenciac</w:t>
      </w:r>
      <w:r w:rsidR="00C4194E">
        <w:rPr>
          <w:rFonts w:ascii="Arial" w:hAnsi="Arial" w:cs="Arial"/>
          <w:sz w:val="20"/>
          <w:szCs w:val="20"/>
        </w:rPr>
        <w:t>i</w:t>
      </w:r>
      <w:r w:rsidR="00074628">
        <w:rPr>
          <w:rFonts w:ascii="Arial" w:hAnsi="Arial" w:cs="Arial"/>
          <w:sz w:val="20"/>
          <w:szCs w:val="20"/>
        </w:rPr>
        <w:t>ón (</w:t>
      </w:r>
      <w:r w:rsidRPr="003A0DD6">
        <w:rPr>
          <w:rFonts w:ascii="Arial" w:hAnsi="Arial" w:cs="Arial"/>
          <w:i/>
          <w:iCs/>
          <w:sz w:val="20"/>
          <w:szCs w:val="20"/>
        </w:rPr>
        <w:t>overhaul</w:t>
      </w:r>
      <w:r w:rsidR="00074628">
        <w:rPr>
          <w:rFonts w:ascii="Arial" w:hAnsi="Arial" w:cs="Arial"/>
          <w:i/>
          <w:iCs/>
          <w:sz w:val="20"/>
          <w:szCs w:val="20"/>
        </w:rPr>
        <w:t>)</w:t>
      </w:r>
      <w:r w:rsidRPr="0095699C">
        <w:rPr>
          <w:rFonts w:ascii="Arial" w:hAnsi="Arial" w:cs="Arial"/>
          <w:sz w:val="20"/>
          <w:szCs w:val="20"/>
        </w:rPr>
        <w:t xml:space="preserve"> y renovación de activos. El propósito común de esta metodología es soportar la toma de decisiones en cualquiera de las etapas del ciclo de vida de los activos, en procesos como:</w:t>
      </w:r>
    </w:p>
    <w:p w14:paraId="63EE452A" w14:textId="77777777" w:rsidR="00C66D8F" w:rsidRDefault="00C66D8F" w:rsidP="00300BFF">
      <w:pPr>
        <w:spacing w:after="0"/>
        <w:jc w:val="both"/>
        <w:rPr>
          <w:rFonts w:ascii="Arial" w:hAnsi="Arial" w:cs="Arial"/>
          <w:sz w:val="20"/>
          <w:szCs w:val="20"/>
        </w:rPr>
      </w:pPr>
    </w:p>
    <w:p w14:paraId="172DD63B" w14:textId="592DF48A" w:rsidR="00EE0188" w:rsidRDefault="0095699C" w:rsidP="00300BFF">
      <w:pPr>
        <w:pStyle w:val="Prrafodelista"/>
        <w:numPr>
          <w:ilvl w:val="0"/>
          <w:numId w:val="1"/>
        </w:numPr>
        <w:spacing w:after="0"/>
        <w:jc w:val="both"/>
        <w:rPr>
          <w:rFonts w:ascii="Arial" w:hAnsi="Arial" w:cs="Arial"/>
          <w:sz w:val="20"/>
          <w:szCs w:val="20"/>
        </w:rPr>
      </w:pPr>
      <w:r w:rsidRPr="00EE0188">
        <w:rPr>
          <w:rFonts w:ascii="Arial" w:hAnsi="Arial" w:cs="Arial"/>
          <w:sz w:val="20"/>
          <w:szCs w:val="20"/>
        </w:rPr>
        <w:t xml:space="preserve">Incorporación del concepto de TOTEX como un soporte al Plan de Negocio de </w:t>
      </w:r>
      <w:r w:rsidR="00BF03CE">
        <w:rPr>
          <w:rFonts w:ascii="Arial" w:hAnsi="Arial" w:cs="Arial"/>
          <w:sz w:val="20"/>
          <w:szCs w:val="20"/>
        </w:rPr>
        <w:t>Interchile.</w:t>
      </w:r>
    </w:p>
    <w:p w14:paraId="786914AB" w14:textId="77777777" w:rsidR="00BF03CE" w:rsidRDefault="0095699C" w:rsidP="00300BFF">
      <w:pPr>
        <w:pStyle w:val="Prrafodelista"/>
        <w:numPr>
          <w:ilvl w:val="0"/>
          <w:numId w:val="1"/>
        </w:numPr>
        <w:spacing w:after="0"/>
        <w:jc w:val="both"/>
        <w:rPr>
          <w:rFonts w:ascii="Arial" w:hAnsi="Arial" w:cs="Arial"/>
          <w:sz w:val="20"/>
          <w:szCs w:val="20"/>
        </w:rPr>
      </w:pPr>
      <w:r w:rsidRPr="00BF03CE">
        <w:rPr>
          <w:rFonts w:ascii="Arial" w:hAnsi="Arial" w:cs="Arial"/>
          <w:sz w:val="20"/>
          <w:szCs w:val="20"/>
        </w:rPr>
        <w:t>Elaboración de ofertas.</w:t>
      </w:r>
    </w:p>
    <w:p w14:paraId="2C976A5C" w14:textId="77777777" w:rsidR="00BF03CE" w:rsidRDefault="0095699C" w:rsidP="00300BFF">
      <w:pPr>
        <w:pStyle w:val="Prrafodelista"/>
        <w:numPr>
          <w:ilvl w:val="0"/>
          <w:numId w:val="1"/>
        </w:numPr>
        <w:spacing w:after="0"/>
        <w:jc w:val="both"/>
        <w:rPr>
          <w:rFonts w:ascii="Arial" w:hAnsi="Arial" w:cs="Arial"/>
          <w:sz w:val="20"/>
          <w:szCs w:val="20"/>
        </w:rPr>
      </w:pPr>
      <w:r w:rsidRPr="00BF03CE">
        <w:rPr>
          <w:rFonts w:ascii="Arial" w:hAnsi="Arial" w:cs="Arial"/>
          <w:sz w:val="20"/>
          <w:szCs w:val="20"/>
        </w:rPr>
        <w:t>Análisis de casos de negocio de proyectos.</w:t>
      </w:r>
    </w:p>
    <w:p w14:paraId="780029F8" w14:textId="77777777" w:rsidR="00BF03CE" w:rsidRDefault="0095699C" w:rsidP="00300BFF">
      <w:pPr>
        <w:pStyle w:val="Prrafodelista"/>
        <w:numPr>
          <w:ilvl w:val="0"/>
          <w:numId w:val="1"/>
        </w:numPr>
        <w:spacing w:after="0"/>
        <w:jc w:val="both"/>
        <w:rPr>
          <w:rFonts w:ascii="Arial" w:hAnsi="Arial" w:cs="Arial"/>
          <w:sz w:val="20"/>
          <w:szCs w:val="20"/>
        </w:rPr>
      </w:pPr>
      <w:r w:rsidRPr="00BF03CE">
        <w:rPr>
          <w:rFonts w:ascii="Arial" w:hAnsi="Arial" w:cs="Arial"/>
          <w:sz w:val="20"/>
          <w:szCs w:val="20"/>
        </w:rPr>
        <w:t>Evaluación y comparación de alternativas de diseño y compra de equipos.</w:t>
      </w:r>
    </w:p>
    <w:p w14:paraId="49186D30" w14:textId="77777777" w:rsidR="00BF03CE" w:rsidRDefault="0095699C" w:rsidP="00300BFF">
      <w:pPr>
        <w:pStyle w:val="Prrafodelista"/>
        <w:numPr>
          <w:ilvl w:val="0"/>
          <w:numId w:val="1"/>
        </w:numPr>
        <w:spacing w:after="0"/>
        <w:jc w:val="both"/>
        <w:rPr>
          <w:rFonts w:ascii="Arial" w:hAnsi="Arial" w:cs="Arial"/>
          <w:sz w:val="20"/>
          <w:szCs w:val="20"/>
        </w:rPr>
      </w:pPr>
      <w:r w:rsidRPr="00BF03CE">
        <w:rPr>
          <w:rFonts w:ascii="Arial" w:hAnsi="Arial" w:cs="Arial"/>
          <w:sz w:val="20"/>
          <w:szCs w:val="20"/>
        </w:rPr>
        <w:t>Elaboración de planes de inversión y/o renovación de largo plazo.</w:t>
      </w:r>
    </w:p>
    <w:p w14:paraId="3D9575D9" w14:textId="47E303BB" w:rsidR="00E67653" w:rsidRDefault="0095699C" w:rsidP="00300BFF">
      <w:pPr>
        <w:pStyle w:val="Prrafodelista"/>
        <w:numPr>
          <w:ilvl w:val="0"/>
          <w:numId w:val="1"/>
        </w:numPr>
        <w:spacing w:after="0"/>
        <w:jc w:val="both"/>
        <w:rPr>
          <w:rFonts w:ascii="Arial" w:hAnsi="Arial" w:cs="Arial"/>
          <w:sz w:val="20"/>
          <w:szCs w:val="20"/>
        </w:rPr>
      </w:pPr>
      <w:r w:rsidRPr="00BF03CE">
        <w:rPr>
          <w:rFonts w:ascii="Arial" w:hAnsi="Arial" w:cs="Arial"/>
          <w:sz w:val="20"/>
          <w:szCs w:val="20"/>
        </w:rPr>
        <w:t>Comparación de alternativas para extensión de vida o renovación de activos.</w:t>
      </w:r>
      <w:r w:rsidRPr="00BF03CE">
        <w:rPr>
          <w:rFonts w:ascii="Arial" w:hAnsi="Arial" w:cs="Arial"/>
          <w:sz w:val="20"/>
          <w:szCs w:val="20"/>
        </w:rPr>
        <w:cr/>
      </w:r>
    </w:p>
    <w:p w14:paraId="5A6E7847" w14:textId="12146802" w:rsidR="00CE0C66" w:rsidRPr="00AC6D51" w:rsidRDefault="00CE0C66" w:rsidP="0008626D">
      <w:pPr>
        <w:pStyle w:val="Prrafodelista"/>
        <w:numPr>
          <w:ilvl w:val="0"/>
          <w:numId w:val="6"/>
        </w:numPr>
        <w:spacing w:after="0"/>
        <w:jc w:val="both"/>
        <w:outlineLvl w:val="0"/>
        <w:rPr>
          <w:rFonts w:ascii="Arial" w:hAnsi="Arial" w:cs="Arial"/>
          <w:sz w:val="20"/>
          <w:szCs w:val="20"/>
        </w:rPr>
      </w:pPr>
      <w:bookmarkStart w:id="1" w:name="_Toc132277741"/>
      <w:r w:rsidRPr="00AC6D51">
        <w:rPr>
          <w:rFonts w:ascii="Arial" w:hAnsi="Arial" w:cs="Arial"/>
          <w:b/>
          <w:bCs/>
          <w:sz w:val="20"/>
          <w:szCs w:val="20"/>
        </w:rPr>
        <w:t>ALCANCE</w:t>
      </w:r>
      <w:bookmarkEnd w:id="1"/>
    </w:p>
    <w:p w14:paraId="38400A12" w14:textId="77777777" w:rsidR="00C66D8F" w:rsidRDefault="00C66D8F" w:rsidP="00300BFF">
      <w:pPr>
        <w:spacing w:after="0"/>
        <w:jc w:val="both"/>
        <w:rPr>
          <w:rFonts w:ascii="Arial" w:hAnsi="Arial" w:cs="Arial"/>
          <w:sz w:val="20"/>
          <w:szCs w:val="20"/>
        </w:rPr>
      </w:pPr>
    </w:p>
    <w:p w14:paraId="6B1307B4" w14:textId="6301FD03" w:rsidR="00CE0C66" w:rsidRDefault="00CE0C66" w:rsidP="00300BFF">
      <w:pPr>
        <w:spacing w:after="0"/>
        <w:jc w:val="both"/>
        <w:rPr>
          <w:rFonts w:ascii="Arial" w:hAnsi="Arial" w:cs="Arial"/>
          <w:sz w:val="20"/>
          <w:szCs w:val="20"/>
        </w:rPr>
      </w:pPr>
      <w:r w:rsidRPr="00CE0C66">
        <w:rPr>
          <w:rFonts w:ascii="Arial" w:hAnsi="Arial" w:cs="Arial"/>
          <w:sz w:val="20"/>
          <w:szCs w:val="20"/>
        </w:rPr>
        <w:t>El alcance de la metodología de TOTEX</w:t>
      </w:r>
      <w:r w:rsidR="00202260">
        <w:rPr>
          <w:rFonts w:ascii="Arial" w:hAnsi="Arial" w:cs="Arial"/>
          <w:sz w:val="20"/>
          <w:szCs w:val="20"/>
        </w:rPr>
        <w:t xml:space="preserve"> se define como el</w:t>
      </w:r>
      <w:r w:rsidR="006A738B" w:rsidRPr="006A738B">
        <w:rPr>
          <w:rFonts w:ascii="Arial" w:hAnsi="Arial" w:cs="Arial"/>
          <w:sz w:val="20"/>
          <w:szCs w:val="20"/>
        </w:rPr>
        <w:t xml:space="preserve"> enfo</w:t>
      </w:r>
      <w:r w:rsidR="00202260">
        <w:rPr>
          <w:rFonts w:ascii="Arial" w:hAnsi="Arial" w:cs="Arial"/>
          <w:sz w:val="20"/>
          <w:szCs w:val="20"/>
        </w:rPr>
        <w:t>que</w:t>
      </w:r>
      <w:r w:rsidR="006A738B" w:rsidRPr="006A738B">
        <w:rPr>
          <w:rFonts w:ascii="Arial" w:hAnsi="Arial" w:cs="Arial"/>
          <w:sz w:val="20"/>
          <w:szCs w:val="20"/>
        </w:rPr>
        <w:t xml:space="preserve"> en la creación de una herramienta que facilite la toma de decisiones </w:t>
      </w:r>
      <w:r w:rsidR="00175C54" w:rsidRPr="006A738B">
        <w:rPr>
          <w:rFonts w:ascii="Arial" w:hAnsi="Arial" w:cs="Arial"/>
          <w:sz w:val="20"/>
          <w:szCs w:val="20"/>
        </w:rPr>
        <w:t>en relación con</w:t>
      </w:r>
      <w:r w:rsidR="006A738B" w:rsidRPr="006A738B">
        <w:rPr>
          <w:rFonts w:ascii="Arial" w:hAnsi="Arial" w:cs="Arial"/>
          <w:sz w:val="20"/>
          <w:szCs w:val="20"/>
        </w:rPr>
        <w:t xml:space="preserve"> los activos, teniendo en cuenta los impactos que estos generan a lo largo de su ciclo de vida. Para lograrlo, se incorporan criterios de costo, riesgo y desempeño, con el fin de integrar todos los costos y riesgos asociados en la gestión del activo desde un enfoque de negocio integrado. En resumen, la metodología de TOTEX busca diseñar una herramienta que permita tomar decisiones informadas sobre los activos de la empresa, considerando su ciclo de vida completo y los impactos que generan, para así lograr una gestión más eficiente y efectiva de los mismos.</w:t>
      </w:r>
    </w:p>
    <w:p w14:paraId="5E543E78" w14:textId="60ED6E63" w:rsidR="00034C2B" w:rsidRDefault="00034C2B" w:rsidP="00300BFF">
      <w:pPr>
        <w:spacing w:after="0"/>
        <w:jc w:val="both"/>
        <w:rPr>
          <w:rFonts w:ascii="Arial" w:hAnsi="Arial" w:cs="Arial"/>
          <w:sz w:val="20"/>
          <w:szCs w:val="20"/>
        </w:rPr>
      </w:pPr>
    </w:p>
    <w:p w14:paraId="26752DF0" w14:textId="52211A90" w:rsidR="00C66D8F" w:rsidRDefault="009237AB" w:rsidP="00300BFF">
      <w:pPr>
        <w:spacing w:after="0"/>
        <w:jc w:val="both"/>
        <w:rPr>
          <w:rFonts w:ascii="Arial" w:hAnsi="Arial" w:cs="Arial"/>
          <w:sz w:val="20"/>
          <w:szCs w:val="20"/>
        </w:rPr>
      </w:pPr>
      <w:r w:rsidRPr="009237AB">
        <w:rPr>
          <w:rFonts w:ascii="Arial" w:hAnsi="Arial" w:cs="Arial"/>
          <w:sz w:val="20"/>
          <w:szCs w:val="20"/>
        </w:rPr>
        <w:t xml:space="preserve">La metodología descrita en este documento se considera una buena práctica empresarial y su aplicación está dirigida al personal de Interchile. Su principal propósito es proporcionar una guía para la evaluación de alternativas que puedan afectar el ciclo de vida de los activos de la compañía. Por tanto, resulta fundamental que todos los colaboradores de Interchile conozcan y apliquen correctamente esta metodología, con el fin de optimizar los procesos de toma de decisiones y asegurar la rentabilidad y sostenibilidad de la organización en el </w:t>
      </w:r>
      <w:r w:rsidR="00C75D05">
        <w:rPr>
          <w:rFonts w:ascii="Arial" w:hAnsi="Arial" w:cs="Arial"/>
          <w:sz w:val="20"/>
          <w:szCs w:val="20"/>
        </w:rPr>
        <w:t xml:space="preserve">corto, mediano y </w:t>
      </w:r>
      <w:r w:rsidRPr="009237AB">
        <w:rPr>
          <w:rFonts w:ascii="Arial" w:hAnsi="Arial" w:cs="Arial"/>
          <w:sz w:val="20"/>
          <w:szCs w:val="20"/>
        </w:rPr>
        <w:t>largo plazo.</w:t>
      </w:r>
    </w:p>
    <w:p w14:paraId="67B03E59" w14:textId="77777777" w:rsidR="009237AB" w:rsidRDefault="009237AB" w:rsidP="00300BFF">
      <w:pPr>
        <w:spacing w:after="0"/>
        <w:jc w:val="both"/>
        <w:rPr>
          <w:rFonts w:ascii="Arial" w:hAnsi="Arial" w:cs="Arial"/>
          <w:sz w:val="20"/>
          <w:szCs w:val="20"/>
        </w:rPr>
      </w:pPr>
    </w:p>
    <w:p w14:paraId="0B33C2A3" w14:textId="77777777" w:rsidR="00D4707E" w:rsidRPr="00AC6D51" w:rsidRDefault="00D4707E" w:rsidP="0008626D">
      <w:pPr>
        <w:pStyle w:val="Prrafodelista"/>
        <w:numPr>
          <w:ilvl w:val="0"/>
          <w:numId w:val="6"/>
        </w:numPr>
        <w:spacing w:after="0"/>
        <w:jc w:val="both"/>
        <w:outlineLvl w:val="0"/>
        <w:rPr>
          <w:rFonts w:ascii="Arial" w:hAnsi="Arial" w:cs="Arial"/>
          <w:b/>
          <w:bCs/>
          <w:sz w:val="20"/>
          <w:szCs w:val="20"/>
        </w:rPr>
      </w:pPr>
      <w:bookmarkStart w:id="2" w:name="_Toc132277742"/>
      <w:r w:rsidRPr="00AC6D51">
        <w:rPr>
          <w:rFonts w:ascii="Arial" w:hAnsi="Arial" w:cs="Arial"/>
          <w:b/>
          <w:bCs/>
          <w:sz w:val="20"/>
          <w:szCs w:val="20"/>
        </w:rPr>
        <w:t>DEFINICIÓN TOTEX</w:t>
      </w:r>
      <w:bookmarkEnd w:id="2"/>
    </w:p>
    <w:p w14:paraId="7F432028" w14:textId="77777777" w:rsidR="00C66D8F" w:rsidRDefault="00C66D8F" w:rsidP="00300BFF">
      <w:pPr>
        <w:spacing w:after="0"/>
        <w:jc w:val="both"/>
        <w:rPr>
          <w:rFonts w:ascii="Arial" w:hAnsi="Arial" w:cs="Arial"/>
          <w:sz w:val="20"/>
          <w:szCs w:val="20"/>
        </w:rPr>
      </w:pPr>
    </w:p>
    <w:p w14:paraId="49455D82" w14:textId="78701784" w:rsidR="00D4707E" w:rsidRDefault="00D4707E" w:rsidP="00300BFF">
      <w:pPr>
        <w:spacing w:after="0"/>
        <w:jc w:val="both"/>
        <w:rPr>
          <w:rFonts w:ascii="Arial" w:hAnsi="Arial" w:cs="Arial"/>
          <w:sz w:val="20"/>
          <w:szCs w:val="20"/>
        </w:rPr>
      </w:pPr>
      <w:r w:rsidRPr="00D4707E">
        <w:rPr>
          <w:rFonts w:ascii="Arial" w:hAnsi="Arial" w:cs="Arial"/>
          <w:sz w:val="20"/>
          <w:szCs w:val="20"/>
        </w:rPr>
        <w:t>La definición de TOTEX se deriva del análisis de las normas y estándares internacionales, las recomendaciones de consultores y su adaptación al entorno y características propias del negocio de transmisión</w:t>
      </w:r>
      <w:r w:rsidR="00F1179E">
        <w:rPr>
          <w:rFonts w:ascii="Arial" w:hAnsi="Arial" w:cs="Arial"/>
          <w:sz w:val="20"/>
          <w:szCs w:val="20"/>
        </w:rPr>
        <w:t>:</w:t>
      </w:r>
    </w:p>
    <w:p w14:paraId="1A5A039A" w14:textId="77777777" w:rsidR="00C66D8F" w:rsidRDefault="00C66D8F" w:rsidP="00300BFF">
      <w:pPr>
        <w:spacing w:after="0"/>
        <w:jc w:val="both"/>
        <w:rPr>
          <w:rFonts w:ascii="Arial" w:hAnsi="Arial" w:cs="Arial"/>
          <w:b/>
          <w:bCs/>
          <w:sz w:val="20"/>
          <w:szCs w:val="20"/>
        </w:rPr>
      </w:pPr>
    </w:p>
    <w:p w14:paraId="49424C03" w14:textId="4D358C73" w:rsidR="000E197F" w:rsidRPr="00156DE3" w:rsidRDefault="00F1179E" w:rsidP="00300BFF">
      <w:pPr>
        <w:spacing w:after="0"/>
        <w:jc w:val="both"/>
        <w:rPr>
          <w:rFonts w:ascii="Arial" w:hAnsi="Arial" w:cs="Arial"/>
          <w:sz w:val="20"/>
          <w:szCs w:val="20"/>
        </w:rPr>
      </w:pPr>
      <w:r w:rsidRPr="00156DE3">
        <w:rPr>
          <w:rFonts w:ascii="Arial" w:hAnsi="Arial" w:cs="Arial"/>
          <w:b/>
          <w:bCs/>
          <w:sz w:val="20"/>
          <w:szCs w:val="20"/>
        </w:rPr>
        <w:lastRenderedPageBreak/>
        <w:t>TOTEX</w:t>
      </w:r>
      <w:r w:rsidR="00BA0295" w:rsidRPr="00156DE3">
        <w:rPr>
          <w:rFonts w:ascii="Arial" w:hAnsi="Arial" w:cs="Arial"/>
          <w:sz w:val="20"/>
          <w:szCs w:val="20"/>
        </w:rPr>
        <w:t xml:space="preserve">: </w:t>
      </w:r>
      <w:r w:rsidR="00FA1392" w:rsidRPr="00156DE3">
        <w:rPr>
          <w:rFonts w:ascii="Arial" w:hAnsi="Arial" w:cs="Arial"/>
          <w:sz w:val="20"/>
          <w:szCs w:val="20"/>
        </w:rPr>
        <w:t>Proviene de la abreviación del término en inglés “</w:t>
      </w:r>
      <w:r w:rsidR="00FA1392" w:rsidRPr="004C743A">
        <w:rPr>
          <w:rFonts w:ascii="Arial" w:hAnsi="Arial" w:cs="Arial"/>
          <w:i/>
          <w:iCs/>
          <w:sz w:val="20"/>
          <w:szCs w:val="20"/>
        </w:rPr>
        <w:t xml:space="preserve">Total </w:t>
      </w:r>
      <w:proofErr w:type="spellStart"/>
      <w:r w:rsidR="00FA1392" w:rsidRPr="00C66D8F">
        <w:rPr>
          <w:rFonts w:ascii="Arial" w:hAnsi="Arial" w:cs="Arial"/>
          <w:i/>
          <w:iCs/>
          <w:sz w:val="20"/>
          <w:szCs w:val="20"/>
        </w:rPr>
        <w:t>Expendi</w:t>
      </w:r>
      <w:r w:rsidR="00FD60C3" w:rsidRPr="00C66D8F">
        <w:rPr>
          <w:rFonts w:ascii="Arial" w:hAnsi="Arial" w:cs="Arial"/>
          <w:i/>
          <w:iCs/>
          <w:sz w:val="20"/>
          <w:szCs w:val="20"/>
        </w:rPr>
        <w:t>tures</w:t>
      </w:r>
      <w:proofErr w:type="spellEnd"/>
      <w:r w:rsidR="00FD60C3" w:rsidRPr="00156DE3">
        <w:rPr>
          <w:rFonts w:ascii="Arial" w:hAnsi="Arial" w:cs="Arial"/>
          <w:sz w:val="20"/>
          <w:szCs w:val="20"/>
        </w:rPr>
        <w:t>”, que se puede traducir al español como “Total de costos y gastos” o “Total de erogaciones”</w:t>
      </w:r>
      <w:r w:rsidR="008F4EC4" w:rsidRPr="00156DE3">
        <w:rPr>
          <w:rFonts w:ascii="Arial" w:hAnsi="Arial" w:cs="Arial"/>
          <w:sz w:val="20"/>
          <w:szCs w:val="20"/>
        </w:rPr>
        <w:t xml:space="preserve">. Para el propósito de este documento, </w:t>
      </w:r>
      <w:r w:rsidR="00BA0295" w:rsidRPr="00156DE3">
        <w:rPr>
          <w:rFonts w:ascii="Arial" w:hAnsi="Arial" w:cs="Arial"/>
          <w:sz w:val="20"/>
          <w:szCs w:val="20"/>
        </w:rPr>
        <w:t>se entenderá como TOTEX a todas las erogaciones (costos, gastos e inversión) que puedan ser asociadas a un activo o grupo de activos en todo su ciclo de vida, es decir, todos los costos y gastos durante la creación, operación, mantenimiento y renovación o disposición final.</w:t>
      </w:r>
    </w:p>
    <w:p w14:paraId="3C3176F1" w14:textId="77777777" w:rsidR="000E197F" w:rsidRDefault="000E197F" w:rsidP="00300BFF">
      <w:pPr>
        <w:pStyle w:val="Prrafodelista"/>
        <w:spacing w:after="0"/>
        <w:ind w:left="1440"/>
        <w:jc w:val="both"/>
        <w:rPr>
          <w:rFonts w:ascii="Arial" w:hAnsi="Arial" w:cs="Arial"/>
          <w:sz w:val="20"/>
          <w:szCs w:val="20"/>
        </w:rPr>
      </w:pPr>
    </w:p>
    <w:p w14:paraId="688526B2" w14:textId="77777777" w:rsidR="006F2722" w:rsidRDefault="006F2722" w:rsidP="00300BFF">
      <w:pPr>
        <w:pStyle w:val="Prrafodelista"/>
        <w:spacing w:after="0"/>
        <w:ind w:left="1440"/>
        <w:jc w:val="both"/>
        <w:rPr>
          <w:rFonts w:ascii="Arial" w:hAnsi="Arial" w:cs="Arial"/>
          <w:sz w:val="20"/>
          <w:szCs w:val="20"/>
        </w:rPr>
      </w:pPr>
    </w:p>
    <w:p w14:paraId="10573DA3" w14:textId="77777777" w:rsidR="006F2722" w:rsidRDefault="006F2722" w:rsidP="00300BFF">
      <w:pPr>
        <w:pStyle w:val="Prrafodelista"/>
        <w:spacing w:after="0"/>
        <w:ind w:left="1440"/>
        <w:jc w:val="both"/>
        <w:rPr>
          <w:rFonts w:ascii="Arial" w:hAnsi="Arial" w:cs="Arial"/>
          <w:sz w:val="20"/>
          <w:szCs w:val="20"/>
        </w:rPr>
      </w:pPr>
    </w:p>
    <w:p w14:paraId="3B89CC27" w14:textId="572A6450" w:rsidR="00F1179E" w:rsidRDefault="00BA0295" w:rsidP="00300BFF">
      <w:pPr>
        <w:pStyle w:val="Prrafodelista"/>
        <w:spacing w:after="0"/>
        <w:ind w:left="1440"/>
        <w:jc w:val="both"/>
        <w:rPr>
          <w:rFonts w:ascii="Arial" w:hAnsi="Arial" w:cs="Arial"/>
          <w:sz w:val="20"/>
          <w:szCs w:val="20"/>
        </w:rPr>
      </w:pPr>
      <w:r w:rsidRPr="000E197F">
        <w:rPr>
          <w:rFonts w:ascii="Arial" w:hAnsi="Arial" w:cs="Arial"/>
          <w:sz w:val="20"/>
          <w:szCs w:val="20"/>
        </w:rPr>
        <w:t>Para su cálculo se puede expresar el TOTEX con la siguiente ecuación:</w:t>
      </w:r>
    </w:p>
    <w:p w14:paraId="1368F926" w14:textId="3D2AD3E9" w:rsidR="000E197F" w:rsidRDefault="000E197F" w:rsidP="00300BFF">
      <w:pPr>
        <w:pStyle w:val="Prrafodelista"/>
        <w:spacing w:after="0"/>
        <w:ind w:left="1440"/>
        <w:jc w:val="both"/>
        <w:rPr>
          <w:rFonts w:ascii="Arial" w:hAnsi="Arial" w:cs="Arial"/>
          <w:sz w:val="20"/>
          <w:szCs w:val="20"/>
        </w:rPr>
      </w:pPr>
    </w:p>
    <w:bookmarkStart w:id="3" w:name="_Hlk130547082"/>
    <w:p w14:paraId="2F1078D2" w14:textId="65D69701" w:rsidR="000E197F" w:rsidRPr="004C743A" w:rsidRDefault="006B0F9C" w:rsidP="00300BFF">
      <w:pPr>
        <w:pStyle w:val="Prrafodelista"/>
        <w:spacing w:after="0"/>
        <w:ind w:left="1440"/>
        <w:jc w:val="both"/>
        <w:rPr>
          <w:rFonts w:ascii="Arial" w:eastAsiaTheme="minorEastAsia" w:hAnsi="Arial" w:cs="Arial"/>
          <w:b/>
          <w:bCs/>
          <w:sz w:val="20"/>
          <w:szCs w:val="20"/>
        </w:rPr>
      </w:pPr>
      <m:oMathPara>
        <m:oMath>
          <m:sSub>
            <m:sSubPr>
              <m:ctrlPr>
                <w:rPr>
                  <w:rFonts w:ascii="Cambria Math" w:hAnsi="Cambria Math" w:cs="Arial"/>
                  <w:b/>
                  <w:bCs/>
                  <w:i/>
                </w:rPr>
              </m:ctrlPr>
            </m:sSubPr>
            <m:e>
              <m:r>
                <m:rPr>
                  <m:sty m:val="bi"/>
                </m:rPr>
                <w:rPr>
                  <w:rFonts w:ascii="Cambria Math" w:hAnsi="Cambria Math" w:cs="Arial"/>
                </w:rPr>
                <m:t>TOTEX</m:t>
              </m:r>
            </m:e>
            <m:sub>
              <m:r>
                <m:rPr>
                  <m:sty m:val="bi"/>
                </m:rPr>
                <w:rPr>
                  <w:rFonts w:ascii="Cambria Math" w:hAnsi="Cambria Math" w:cs="Arial"/>
                </w:rPr>
                <m:t>t</m:t>
              </m:r>
            </m:sub>
          </m:sSub>
          <m:r>
            <m:rPr>
              <m:sty m:val="bi"/>
            </m:rPr>
            <w:rPr>
              <w:rFonts w:ascii="Cambria Math" w:hAnsi="Cambria Math" w:cs="Arial"/>
            </w:rPr>
            <m:t>=</m:t>
          </m:r>
          <m:sSub>
            <m:sSubPr>
              <m:ctrlPr>
                <w:rPr>
                  <w:rFonts w:ascii="Cambria Math" w:hAnsi="Cambria Math" w:cs="Arial"/>
                  <w:b/>
                  <w:bCs/>
                  <w:i/>
                </w:rPr>
              </m:ctrlPr>
            </m:sSubPr>
            <m:e>
              <m:r>
                <m:rPr>
                  <m:sty m:val="bi"/>
                </m:rPr>
                <w:rPr>
                  <w:rFonts w:ascii="Cambria Math" w:hAnsi="Cambria Math" w:cs="Arial"/>
                </w:rPr>
                <m:t>CAPEX</m:t>
              </m:r>
            </m:e>
            <m:sub>
              <m:r>
                <m:rPr>
                  <m:sty m:val="bi"/>
                </m:rPr>
                <w:rPr>
                  <w:rFonts w:ascii="Cambria Math" w:hAnsi="Cambria Math" w:cs="Arial"/>
                </w:rPr>
                <m:t>t</m:t>
              </m:r>
            </m:sub>
          </m:sSub>
          <w:bookmarkEnd w:id="3"/>
          <m:r>
            <m:rPr>
              <m:sty m:val="bi"/>
            </m:rPr>
            <w:rPr>
              <w:rFonts w:ascii="Cambria Math" w:hAnsi="Cambria Math" w:cs="Arial"/>
            </w:rPr>
            <m:t>+</m:t>
          </m:r>
          <m:sSub>
            <m:sSubPr>
              <m:ctrlPr>
                <w:rPr>
                  <w:rFonts w:ascii="Cambria Math" w:hAnsi="Cambria Math" w:cs="Arial"/>
                  <w:b/>
                  <w:bCs/>
                  <w:i/>
                </w:rPr>
              </m:ctrlPr>
            </m:sSubPr>
            <m:e>
              <m:r>
                <m:rPr>
                  <m:sty m:val="bi"/>
                </m:rPr>
                <w:rPr>
                  <w:rFonts w:ascii="Cambria Math" w:hAnsi="Cambria Math" w:cs="Arial"/>
                </w:rPr>
                <m:t>OPE</m:t>
              </m:r>
              <m:r>
                <m:rPr>
                  <m:sty m:val="bi"/>
                </m:rPr>
                <w:rPr>
                  <w:rFonts w:ascii="Cambria Math" w:hAnsi="Cambria Math" w:cs="Arial"/>
                </w:rPr>
                <m:t>X</m:t>
              </m:r>
            </m:e>
            <m:sub>
              <m:r>
                <m:rPr>
                  <m:sty m:val="bi"/>
                </m:rPr>
                <w:rPr>
                  <w:rFonts w:ascii="Cambria Math" w:hAnsi="Cambria Math" w:cs="Arial"/>
                </w:rPr>
                <m:t>t</m:t>
              </m:r>
            </m:sub>
          </m:sSub>
          <m:r>
            <m:rPr>
              <m:sty m:val="bi"/>
            </m:rPr>
            <w:rPr>
              <w:rFonts w:ascii="Cambria Math" w:hAnsi="Cambria Math" w:cs="Arial"/>
            </w:rPr>
            <m:t xml:space="preserve"> +</m:t>
          </m:r>
          <m:sSub>
            <m:sSubPr>
              <m:ctrlPr>
                <w:rPr>
                  <w:rFonts w:ascii="Cambria Math" w:hAnsi="Cambria Math" w:cs="Arial"/>
                  <w:b/>
                  <w:bCs/>
                  <w:i/>
                </w:rPr>
              </m:ctrlPr>
            </m:sSubPr>
            <m:e>
              <m:r>
                <m:rPr>
                  <m:sty m:val="bi"/>
                </m:rPr>
                <w:rPr>
                  <w:rFonts w:ascii="Cambria Math" w:hAnsi="Cambria Math" w:cs="Arial"/>
                </w:rPr>
                <m:t>RIESGO</m:t>
              </m:r>
            </m:e>
            <m:sub>
              <m:r>
                <m:rPr>
                  <m:sty m:val="bi"/>
                </m:rPr>
                <w:rPr>
                  <w:rFonts w:ascii="Cambria Math" w:hAnsi="Cambria Math" w:cs="Arial"/>
                </w:rPr>
                <m:t>t</m:t>
              </m:r>
            </m:sub>
          </m:sSub>
        </m:oMath>
      </m:oMathPara>
    </w:p>
    <w:p w14:paraId="21723E23" w14:textId="275FB097" w:rsidR="000C6AA6" w:rsidRDefault="00365FD8" w:rsidP="00300BFF">
      <w:pPr>
        <w:spacing w:after="0"/>
        <w:jc w:val="both"/>
        <w:rPr>
          <w:rFonts w:ascii="Arial" w:hAnsi="Arial" w:cs="Arial"/>
          <w:sz w:val="20"/>
          <w:szCs w:val="20"/>
        </w:rPr>
      </w:pPr>
      <w:r>
        <w:rPr>
          <w:rFonts w:ascii="Arial" w:hAnsi="Arial" w:cs="Arial"/>
          <w:sz w:val="20"/>
          <w:szCs w:val="20"/>
        </w:rPr>
        <w:t>Donde:</w:t>
      </w:r>
    </w:p>
    <w:p w14:paraId="1D064AC7" w14:textId="77777777" w:rsidR="00C66D8F" w:rsidRDefault="00C66D8F" w:rsidP="00300BFF">
      <w:pPr>
        <w:spacing w:after="0"/>
        <w:jc w:val="both"/>
        <w:rPr>
          <w:rFonts w:ascii="Arial" w:hAnsi="Arial" w:cs="Arial"/>
          <w:sz w:val="20"/>
          <w:szCs w:val="20"/>
        </w:rPr>
      </w:pPr>
    </w:p>
    <w:p w14:paraId="740295BB" w14:textId="1F81DD90" w:rsidR="00151D8B" w:rsidRDefault="006B0F9C" w:rsidP="00300BFF">
      <w:pPr>
        <w:spacing w:after="0"/>
        <w:jc w:val="both"/>
        <w:rPr>
          <w:rFonts w:ascii="Arial" w:eastAsiaTheme="minorEastAsia" w:hAnsi="Arial" w:cs="Arial"/>
          <w:sz w:val="20"/>
          <w:szCs w:val="20"/>
        </w:rPr>
      </w:pPr>
      <m:oMath>
        <m:sSub>
          <m:sSubPr>
            <m:ctrlPr>
              <w:rPr>
                <w:rFonts w:ascii="Cambria Math" w:hAnsi="Cambria Math" w:cs="Arial"/>
                <w:b/>
                <w:bCs/>
                <w:i/>
                <w:sz w:val="20"/>
                <w:szCs w:val="20"/>
              </w:rPr>
            </m:ctrlPr>
          </m:sSubPr>
          <m:e>
            <m:r>
              <m:rPr>
                <m:sty m:val="bi"/>
              </m:rPr>
              <w:rPr>
                <w:rFonts w:ascii="Cambria Math" w:hAnsi="Cambria Math" w:cs="Arial"/>
                <w:sz w:val="20"/>
                <w:szCs w:val="20"/>
              </w:rPr>
              <m:t>TOTEX</m:t>
            </m:r>
          </m:e>
          <m:sub>
            <m:r>
              <m:rPr>
                <m:sty m:val="bi"/>
              </m:rPr>
              <w:rPr>
                <w:rFonts w:ascii="Cambria Math" w:hAnsi="Cambria Math" w:cs="Arial"/>
                <w:sz w:val="20"/>
                <w:szCs w:val="20"/>
              </w:rPr>
              <m:t>t</m:t>
            </m:r>
          </m:sub>
        </m:sSub>
      </m:oMath>
      <w:r w:rsidR="00A970FE">
        <w:rPr>
          <w:rFonts w:ascii="Arial" w:eastAsiaTheme="minorEastAsia" w:hAnsi="Arial" w:cs="Arial"/>
          <w:sz w:val="20"/>
          <w:szCs w:val="20"/>
        </w:rPr>
        <w:t xml:space="preserve">: </w:t>
      </w:r>
      <w:r w:rsidR="007E257E" w:rsidRPr="007E257E">
        <w:rPr>
          <w:rFonts w:ascii="Arial" w:eastAsiaTheme="minorEastAsia" w:hAnsi="Arial" w:cs="Arial"/>
          <w:sz w:val="20"/>
          <w:szCs w:val="20"/>
        </w:rPr>
        <w:t>Corresponde a la suma de los flujos de caja relacionados con inversiones, costos y gastos</w:t>
      </w:r>
      <w:r w:rsidR="007E257E">
        <w:rPr>
          <w:rFonts w:ascii="Arial" w:eastAsiaTheme="minorEastAsia" w:hAnsi="Arial" w:cs="Arial"/>
          <w:sz w:val="20"/>
          <w:szCs w:val="20"/>
        </w:rPr>
        <w:t xml:space="preserve"> </w:t>
      </w:r>
      <w:r w:rsidR="007E257E" w:rsidRPr="007E257E">
        <w:rPr>
          <w:rFonts w:ascii="Arial" w:eastAsiaTheme="minorEastAsia" w:hAnsi="Arial" w:cs="Arial"/>
          <w:sz w:val="20"/>
          <w:szCs w:val="20"/>
        </w:rPr>
        <w:t xml:space="preserve">de operación y cuantificación de riesgo asociados a un activo o grupo de activos en el periodo </w:t>
      </w:r>
      <w:r w:rsidR="00B93239">
        <w:rPr>
          <w:rFonts w:ascii="Arial" w:eastAsiaTheme="minorEastAsia" w:hAnsi="Arial" w:cs="Arial"/>
          <w:sz w:val="20"/>
          <w:szCs w:val="20"/>
        </w:rPr>
        <w:t>t</w:t>
      </w:r>
      <w:r w:rsidR="001E0E7B">
        <w:rPr>
          <w:rFonts w:ascii="Arial" w:eastAsiaTheme="minorEastAsia" w:hAnsi="Arial" w:cs="Arial"/>
          <w:sz w:val="20"/>
          <w:szCs w:val="20"/>
        </w:rPr>
        <w:t xml:space="preserve"> (</w:t>
      </w:r>
      <w:r w:rsidR="004705EC">
        <w:rPr>
          <w:rFonts w:ascii="Arial" w:eastAsiaTheme="minorEastAsia" w:hAnsi="Arial" w:cs="Arial"/>
          <w:sz w:val="20"/>
          <w:szCs w:val="20"/>
        </w:rPr>
        <w:t>e</w:t>
      </w:r>
      <w:r w:rsidR="001E0E7B" w:rsidRPr="001E0E7B">
        <w:rPr>
          <w:rFonts w:ascii="Arial" w:eastAsiaTheme="minorEastAsia" w:hAnsi="Arial" w:cs="Arial"/>
          <w:sz w:val="20"/>
          <w:szCs w:val="20"/>
        </w:rPr>
        <w:t xml:space="preserve">l flujo de </w:t>
      </w:r>
      <w:proofErr w:type="gramStart"/>
      <w:r w:rsidR="001E0E7B" w:rsidRPr="001E0E7B">
        <w:rPr>
          <w:rFonts w:ascii="Arial" w:eastAsiaTheme="minorEastAsia" w:hAnsi="Arial" w:cs="Arial"/>
          <w:sz w:val="20"/>
          <w:szCs w:val="20"/>
        </w:rPr>
        <w:t>caja,</w:t>
      </w:r>
      <w:proofErr w:type="gramEnd"/>
      <w:r w:rsidR="001E0E7B" w:rsidRPr="001E0E7B">
        <w:rPr>
          <w:rFonts w:ascii="Arial" w:eastAsiaTheme="minorEastAsia" w:hAnsi="Arial" w:cs="Arial"/>
          <w:sz w:val="20"/>
          <w:szCs w:val="20"/>
        </w:rPr>
        <w:t xml:space="preserve"> incluye remuneración del activo, ahorros generados, </w:t>
      </w:r>
      <w:proofErr w:type="spellStart"/>
      <w:r w:rsidR="001E0E7B" w:rsidRPr="001E0E7B">
        <w:rPr>
          <w:rFonts w:ascii="Arial" w:eastAsiaTheme="minorEastAsia" w:hAnsi="Arial" w:cs="Arial"/>
          <w:sz w:val="20"/>
          <w:szCs w:val="20"/>
        </w:rPr>
        <w:t>etc</w:t>
      </w:r>
      <w:proofErr w:type="spellEnd"/>
      <w:r w:rsidR="004705EC">
        <w:rPr>
          <w:rFonts w:ascii="Arial" w:eastAsiaTheme="minorEastAsia" w:hAnsi="Arial" w:cs="Arial"/>
          <w:sz w:val="20"/>
          <w:szCs w:val="20"/>
        </w:rPr>
        <w:t>)</w:t>
      </w:r>
      <w:r w:rsidR="00B93239">
        <w:rPr>
          <w:rFonts w:ascii="Arial" w:eastAsiaTheme="minorEastAsia" w:hAnsi="Arial" w:cs="Arial"/>
          <w:sz w:val="20"/>
          <w:szCs w:val="20"/>
        </w:rPr>
        <w:t>.</w:t>
      </w:r>
    </w:p>
    <w:p w14:paraId="70458735" w14:textId="77777777" w:rsidR="00C66D8F" w:rsidRDefault="00C66D8F" w:rsidP="00300BFF">
      <w:pPr>
        <w:spacing w:after="0"/>
        <w:jc w:val="both"/>
        <w:rPr>
          <w:rFonts w:ascii="Arial" w:eastAsiaTheme="minorEastAsia" w:hAnsi="Arial" w:cs="Arial"/>
          <w:sz w:val="20"/>
          <w:szCs w:val="20"/>
        </w:rPr>
      </w:pPr>
    </w:p>
    <w:p w14:paraId="3F18A4FA" w14:textId="77777777" w:rsidR="00C66D8F" w:rsidRDefault="006B0F9C" w:rsidP="00300BFF">
      <w:pPr>
        <w:spacing w:after="0"/>
        <w:jc w:val="both"/>
        <w:rPr>
          <w:rFonts w:ascii="Arial" w:eastAsiaTheme="minorEastAsia" w:hAnsi="Arial" w:cs="Arial"/>
          <w:sz w:val="20"/>
          <w:szCs w:val="20"/>
        </w:rPr>
      </w:pPr>
      <m:oMath>
        <m:sSub>
          <m:sSubPr>
            <m:ctrlPr>
              <w:rPr>
                <w:rFonts w:ascii="Cambria Math" w:eastAsiaTheme="minorEastAsia" w:hAnsi="Cambria Math" w:cs="Arial"/>
                <w:b/>
                <w:bCs/>
                <w:i/>
                <w:sz w:val="20"/>
                <w:szCs w:val="20"/>
              </w:rPr>
            </m:ctrlPr>
          </m:sSubPr>
          <m:e>
            <m:r>
              <m:rPr>
                <m:sty m:val="bi"/>
              </m:rPr>
              <w:rPr>
                <w:rFonts w:ascii="Cambria Math" w:eastAsiaTheme="minorEastAsia" w:hAnsi="Cambria Math" w:cs="Arial"/>
                <w:sz w:val="20"/>
                <w:szCs w:val="20"/>
              </w:rPr>
              <m:t>CAPEX</m:t>
            </m:r>
          </m:e>
          <m:sub>
            <m:r>
              <m:rPr>
                <m:sty m:val="bi"/>
              </m:rPr>
              <w:rPr>
                <w:rFonts w:ascii="Cambria Math" w:eastAsiaTheme="minorEastAsia" w:hAnsi="Cambria Math" w:cs="Arial"/>
                <w:sz w:val="20"/>
                <w:szCs w:val="20"/>
              </w:rPr>
              <m:t>t</m:t>
            </m:r>
          </m:sub>
        </m:sSub>
      </m:oMath>
      <w:r w:rsidR="009E607E" w:rsidRPr="009E607E">
        <w:rPr>
          <w:rFonts w:ascii="Arial" w:eastAsiaTheme="minorEastAsia" w:hAnsi="Arial" w:cs="Arial"/>
          <w:sz w:val="20"/>
          <w:szCs w:val="20"/>
        </w:rPr>
        <w:t>:</w:t>
      </w:r>
      <w:r w:rsidR="009E607E">
        <w:rPr>
          <w:rFonts w:ascii="Arial" w:eastAsiaTheme="minorEastAsia" w:hAnsi="Arial" w:cs="Arial"/>
          <w:sz w:val="20"/>
          <w:szCs w:val="20"/>
        </w:rPr>
        <w:t xml:space="preserve"> </w:t>
      </w:r>
      <w:r w:rsidR="00F21847">
        <w:rPr>
          <w:rFonts w:ascii="Arial" w:eastAsiaTheme="minorEastAsia" w:hAnsi="Arial" w:cs="Arial"/>
          <w:i/>
          <w:iCs/>
          <w:sz w:val="20"/>
          <w:szCs w:val="20"/>
        </w:rPr>
        <w:t xml:space="preserve">Capital </w:t>
      </w:r>
      <w:proofErr w:type="spellStart"/>
      <w:r w:rsidR="00F21847" w:rsidRPr="004F198C">
        <w:rPr>
          <w:rFonts w:ascii="Arial" w:eastAsiaTheme="minorEastAsia" w:hAnsi="Arial" w:cs="Arial"/>
          <w:i/>
          <w:iCs/>
          <w:sz w:val="20"/>
          <w:szCs w:val="20"/>
        </w:rPr>
        <w:t>Expenditures</w:t>
      </w:r>
      <w:proofErr w:type="spellEnd"/>
      <w:r w:rsidR="00F21847">
        <w:rPr>
          <w:rFonts w:ascii="Arial" w:eastAsiaTheme="minorEastAsia" w:hAnsi="Arial" w:cs="Arial"/>
          <w:i/>
          <w:iCs/>
          <w:sz w:val="20"/>
          <w:szCs w:val="20"/>
        </w:rPr>
        <w:t xml:space="preserve">, </w:t>
      </w:r>
      <w:r w:rsidR="004F198C">
        <w:rPr>
          <w:rFonts w:ascii="Arial" w:eastAsiaTheme="minorEastAsia" w:hAnsi="Arial" w:cs="Arial"/>
          <w:sz w:val="20"/>
          <w:szCs w:val="20"/>
        </w:rPr>
        <w:t>c</w:t>
      </w:r>
      <w:r w:rsidR="004F198C" w:rsidRPr="004F198C">
        <w:rPr>
          <w:rFonts w:ascii="Arial" w:eastAsiaTheme="minorEastAsia" w:hAnsi="Arial" w:cs="Arial"/>
          <w:sz w:val="20"/>
          <w:szCs w:val="20"/>
        </w:rPr>
        <w:t>orresponde a las inversiones de capital en la creación o constitución del activo o grupo de activos. Generalmente las inversiones ocurren en la etapa inicial del ciclo de vida, sin embargo, se consideran también las inversiones de capital derivadas de renovaciones, reposiciones parciales o adiciones de activos o grupos de activos, destinadas a la prolongación de su vida útil en cualquier momento del ciclo de vida.</w:t>
      </w:r>
      <w:r w:rsidR="004F198C" w:rsidRPr="004F198C">
        <w:rPr>
          <w:rFonts w:ascii="Arial" w:eastAsiaTheme="minorEastAsia" w:hAnsi="Arial" w:cs="Arial"/>
          <w:sz w:val="20"/>
          <w:szCs w:val="20"/>
        </w:rPr>
        <w:cr/>
      </w:r>
    </w:p>
    <w:p w14:paraId="5A6DB10E" w14:textId="55594AFD" w:rsidR="00925519" w:rsidRDefault="006B0F9C" w:rsidP="00232448">
      <w:pPr>
        <w:spacing w:after="0"/>
        <w:jc w:val="both"/>
        <w:rPr>
          <w:rFonts w:ascii="Arial" w:eastAsiaTheme="minorEastAsia" w:hAnsi="Arial" w:cs="Arial"/>
          <w:sz w:val="20"/>
          <w:szCs w:val="20"/>
        </w:rPr>
      </w:pPr>
      <m:oMath>
        <m:sSub>
          <m:sSubPr>
            <m:ctrlPr>
              <w:rPr>
                <w:rFonts w:ascii="Cambria Math" w:eastAsiaTheme="minorEastAsia" w:hAnsi="Cambria Math" w:cs="Arial"/>
                <w:b/>
                <w:bCs/>
                <w:i/>
                <w:sz w:val="20"/>
                <w:szCs w:val="20"/>
              </w:rPr>
            </m:ctrlPr>
          </m:sSubPr>
          <m:e>
            <m:r>
              <m:rPr>
                <m:sty m:val="bi"/>
              </m:rPr>
              <w:rPr>
                <w:rFonts w:ascii="Cambria Math" w:eastAsiaTheme="minorEastAsia" w:hAnsi="Cambria Math" w:cs="Arial"/>
                <w:sz w:val="20"/>
                <w:szCs w:val="20"/>
              </w:rPr>
              <m:t>OPEX</m:t>
            </m:r>
          </m:e>
          <m:sub>
            <m:r>
              <m:rPr>
                <m:sty m:val="bi"/>
              </m:rPr>
              <w:rPr>
                <w:rFonts w:ascii="Cambria Math" w:eastAsiaTheme="minorEastAsia" w:hAnsi="Cambria Math" w:cs="Arial"/>
                <w:sz w:val="20"/>
                <w:szCs w:val="20"/>
              </w:rPr>
              <m:t>t</m:t>
            </m:r>
          </m:sub>
        </m:sSub>
      </m:oMath>
      <w:r w:rsidR="00633ADC" w:rsidRPr="00633ADC">
        <w:rPr>
          <w:rFonts w:ascii="Arial" w:eastAsiaTheme="minorEastAsia" w:hAnsi="Arial" w:cs="Arial"/>
          <w:sz w:val="20"/>
          <w:szCs w:val="20"/>
        </w:rPr>
        <w:t xml:space="preserve">: </w:t>
      </w:r>
      <w:proofErr w:type="spellStart"/>
      <w:r w:rsidR="00633ADC">
        <w:rPr>
          <w:rFonts w:ascii="Arial" w:eastAsiaTheme="minorEastAsia" w:hAnsi="Arial" w:cs="Arial"/>
          <w:i/>
          <w:iCs/>
          <w:sz w:val="20"/>
          <w:szCs w:val="20"/>
        </w:rPr>
        <w:t>Operating</w:t>
      </w:r>
      <w:proofErr w:type="spellEnd"/>
      <w:r w:rsidR="00633ADC">
        <w:rPr>
          <w:rFonts w:ascii="Arial" w:eastAsiaTheme="minorEastAsia" w:hAnsi="Arial" w:cs="Arial"/>
          <w:i/>
          <w:iCs/>
          <w:sz w:val="20"/>
          <w:szCs w:val="20"/>
        </w:rPr>
        <w:t xml:space="preserve"> </w:t>
      </w:r>
      <w:proofErr w:type="spellStart"/>
      <w:r w:rsidR="00633ADC">
        <w:rPr>
          <w:rFonts w:ascii="Arial" w:eastAsiaTheme="minorEastAsia" w:hAnsi="Arial" w:cs="Arial"/>
          <w:i/>
          <w:iCs/>
          <w:sz w:val="20"/>
          <w:szCs w:val="20"/>
        </w:rPr>
        <w:t>Expenditures</w:t>
      </w:r>
      <w:proofErr w:type="spellEnd"/>
      <w:r w:rsidR="00633ADC">
        <w:rPr>
          <w:rFonts w:ascii="Arial" w:eastAsiaTheme="minorEastAsia" w:hAnsi="Arial" w:cs="Arial"/>
          <w:i/>
          <w:iCs/>
          <w:sz w:val="20"/>
          <w:szCs w:val="20"/>
        </w:rPr>
        <w:t xml:space="preserve">, </w:t>
      </w:r>
      <w:r w:rsidR="00232448" w:rsidRPr="00232448">
        <w:rPr>
          <w:rFonts w:ascii="Arial" w:eastAsiaTheme="minorEastAsia" w:hAnsi="Arial" w:cs="Arial"/>
          <w:sz w:val="20"/>
          <w:szCs w:val="20"/>
        </w:rPr>
        <w:t>corresponde a todos los gastos asociados con la administración, operación y mantenimiento del activo o grupo de activos durante todo el ciclo de vida (</w:t>
      </w:r>
      <w:r w:rsidR="00750113">
        <w:rPr>
          <w:rFonts w:ascii="Arial" w:eastAsiaTheme="minorEastAsia" w:hAnsi="Arial" w:cs="Arial"/>
          <w:sz w:val="20"/>
          <w:szCs w:val="20"/>
        </w:rPr>
        <w:t>Conocidos también como gastos</w:t>
      </w:r>
      <w:r w:rsidR="00232448" w:rsidRPr="00232448">
        <w:rPr>
          <w:rFonts w:ascii="Arial" w:eastAsiaTheme="minorEastAsia" w:hAnsi="Arial" w:cs="Arial"/>
          <w:sz w:val="20"/>
          <w:szCs w:val="20"/>
        </w:rPr>
        <w:t xml:space="preserve"> AOM)</w:t>
      </w:r>
      <w:r w:rsidR="00A61EA6">
        <w:rPr>
          <w:rFonts w:ascii="Arial" w:eastAsiaTheme="minorEastAsia" w:hAnsi="Arial" w:cs="Arial"/>
          <w:sz w:val="20"/>
          <w:szCs w:val="20"/>
        </w:rPr>
        <w:t>.</w:t>
      </w:r>
    </w:p>
    <w:p w14:paraId="5D9EBB54" w14:textId="2D85632D" w:rsidR="00A61EA6" w:rsidRDefault="00A61EA6" w:rsidP="00232448">
      <w:pPr>
        <w:spacing w:after="0"/>
        <w:jc w:val="both"/>
        <w:rPr>
          <w:rFonts w:ascii="Arial" w:eastAsiaTheme="minorEastAsia" w:hAnsi="Arial" w:cs="Arial"/>
          <w:sz w:val="20"/>
          <w:szCs w:val="20"/>
        </w:rPr>
      </w:pPr>
    </w:p>
    <w:p w14:paraId="6863AEB5" w14:textId="2855A60E" w:rsidR="003F632E" w:rsidRDefault="006B0F9C" w:rsidP="003F632E">
      <w:pPr>
        <w:spacing w:after="0"/>
        <w:jc w:val="both"/>
        <w:rPr>
          <w:rFonts w:ascii="Arial" w:eastAsiaTheme="minorEastAsia" w:hAnsi="Arial" w:cs="Arial"/>
          <w:sz w:val="20"/>
          <w:szCs w:val="20"/>
        </w:rPr>
      </w:pPr>
      <m:oMath>
        <m:sSub>
          <m:sSubPr>
            <m:ctrlPr>
              <w:rPr>
                <w:rFonts w:ascii="Cambria Math" w:eastAsiaTheme="minorEastAsia" w:hAnsi="Cambria Math" w:cs="Arial"/>
                <w:b/>
                <w:bCs/>
                <w:i/>
                <w:sz w:val="20"/>
                <w:szCs w:val="20"/>
              </w:rPr>
            </m:ctrlPr>
          </m:sSubPr>
          <m:e>
            <m:r>
              <m:rPr>
                <m:sty m:val="bi"/>
              </m:rPr>
              <w:rPr>
                <w:rFonts w:ascii="Cambria Math" w:eastAsiaTheme="minorEastAsia" w:hAnsi="Cambria Math" w:cs="Arial"/>
                <w:sz w:val="20"/>
                <w:szCs w:val="20"/>
              </w:rPr>
              <m:t>RIESGO</m:t>
            </m:r>
          </m:e>
          <m:sub>
            <m:r>
              <m:rPr>
                <m:sty m:val="bi"/>
              </m:rPr>
              <w:rPr>
                <w:rFonts w:ascii="Cambria Math" w:eastAsiaTheme="minorEastAsia" w:hAnsi="Cambria Math" w:cs="Arial"/>
                <w:sz w:val="20"/>
                <w:szCs w:val="20"/>
              </w:rPr>
              <m:t>t</m:t>
            </m:r>
          </m:sub>
        </m:sSub>
      </m:oMath>
      <w:r w:rsidR="00A61EA6">
        <w:rPr>
          <w:rFonts w:ascii="Arial" w:eastAsiaTheme="minorEastAsia" w:hAnsi="Arial" w:cs="Arial"/>
          <w:sz w:val="20"/>
          <w:szCs w:val="20"/>
        </w:rPr>
        <w:t xml:space="preserve">: </w:t>
      </w:r>
      <w:r w:rsidR="003F632E" w:rsidRPr="003F632E">
        <w:rPr>
          <w:rFonts w:ascii="Arial" w:eastAsiaTheme="minorEastAsia" w:hAnsi="Arial" w:cs="Arial"/>
          <w:sz w:val="20"/>
          <w:szCs w:val="20"/>
        </w:rPr>
        <w:t xml:space="preserve">Corresponde al valor </w:t>
      </w:r>
      <w:r w:rsidR="00281A92">
        <w:rPr>
          <w:rFonts w:ascii="Arial" w:eastAsiaTheme="minorEastAsia" w:hAnsi="Arial" w:cs="Arial"/>
          <w:sz w:val="20"/>
          <w:szCs w:val="20"/>
        </w:rPr>
        <w:t xml:space="preserve">(nivel de riesgo) </w:t>
      </w:r>
      <w:r w:rsidR="003F632E" w:rsidRPr="003F632E">
        <w:rPr>
          <w:rFonts w:ascii="Arial" w:eastAsiaTheme="minorEastAsia" w:hAnsi="Arial" w:cs="Arial"/>
          <w:sz w:val="20"/>
          <w:szCs w:val="20"/>
        </w:rPr>
        <w:t>esperado en el periodo t, cuantificado en dinero, de la materialización de los posibles riesgos que puedan afectar la operación normal de un activo o grupo</w:t>
      </w:r>
      <w:r w:rsidR="003F632E">
        <w:rPr>
          <w:rFonts w:ascii="Arial" w:eastAsiaTheme="minorEastAsia" w:hAnsi="Arial" w:cs="Arial"/>
          <w:sz w:val="20"/>
          <w:szCs w:val="20"/>
        </w:rPr>
        <w:t xml:space="preserve"> </w:t>
      </w:r>
      <w:r w:rsidR="003F632E" w:rsidRPr="003F632E">
        <w:rPr>
          <w:rFonts w:ascii="Arial" w:eastAsiaTheme="minorEastAsia" w:hAnsi="Arial" w:cs="Arial"/>
          <w:sz w:val="20"/>
          <w:szCs w:val="20"/>
        </w:rPr>
        <w:t>de activos y a su vez representen afectaciones de valor para la empresa.</w:t>
      </w:r>
    </w:p>
    <w:p w14:paraId="1D637FE9" w14:textId="77777777" w:rsidR="003F632E" w:rsidRDefault="003F632E" w:rsidP="003F632E">
      <w:pPr>
        <w:spacing w:after="0"/>
        <w:jc w:val="both"/>
        <w:rPr>
          <w:rFonts w:ascii="Arial" w:eastAsiaTheme="minorEastAsia" w:hAnsi="Arial" w:cs="Arial"/>
          <w:sz w:val="20"/>
          <w:szCs w:val="20"/>
        </w:rPr>
      </w:pPr>
    </w:p>
    <w:p w14:paraId="713A9122" w14:textId="69A00E9F" w:rsidR="00A61EA6" w:rsidRDefault="003F632E" w:rsidP="003F632E">
      <w:pPr>
        <w:spacing w:after="0"/>
        <w:jc w:val="both"/>
        <w:rPr>
          <w:rFonts w:ascii="Arial" w:eastAsiaTheme="minorEastAsia" w:hAnsi="Arial" w:cs="Arial"/>
          <w:sz w:val="20"/>
          <w:szCs w:val="20"/>
        </w:rPr>
      </w:pPr>
      <w:r w:rsidRPr="003F632E">
        <w:rPr>
          <w:rFonts w:ascii="Arial" w:eastAsiaTheme="minorEastAsia" w:hAnsi="Arial" w:cs="Arial"/>
          <w:sz w:val="20"/>
          <w:szCs w:val="20"/>
        </w:rPr>
        <w:t xml:space="preserve">El componente de </w:t>
      </w:r>
      <w:r w:rsidR="00E27DC7" w:rsidRPr="003F632E">
        <w:rPr>
          <w:rFonts w:ascii="Arial" w:eastAsiaTheme="minorEastAsia" w:hAnsi="Arial" w:cs="Arial"/>
          <w:sz w:val="20"/>
          <w:szCs w:val="20"/>
        </w:rPr>
        <w:t>RIESGOS</w:t>
      </w:r>
      <w:r w:rsidRPr="003F632E">
        <w:rPr>
          <w:rFonts w:ascii="Arial" w:eastAsiaTheme="minorEastAsia" w:hAnsi="Arial" w:cs="Arial"/>
          <w:sz w:val="20"/>
          <w:szCs w:val="20"/>
        </w:rPr>
        <w:t xml:space="preserve"> se debe trabajar a través de </w:t>
      </w:r>
      <w:r w:rsidRPr="0020190A">
        <w:rPr>
          <w:rFonts w:ascii="Arial" w:eastAsiaTheme="minorEastAsia" w:hAnsi="Arial" w:cs="Arial"/>
          <w:sz w:val="20"/>
          <w:szCs w:val="20"/>
        </w:rPr>
        <w:t xml:space="preserve">la estimación de probabilidad de ocurrencia del evento (frecuencia = n veces/año) y la estimación del impacto </w:t>
      </w:r>
      <w:r w:rsidR="00D35935" w:rsidRPr="0020190A">
        <w:rPr>
          <w:rFonts w:ascii="Arial" w:eastAsiaTheme="minorEastAsia" w:hAnsi="Arial" w:cs="Arial"/>
          <w:sz w:val="20"/>
          <w:szCs w:val="20"/>
        </w:rPr>
        <w:t>y</w:t>
      </w:r>
      <w:r w:rsidR="0020190A" w:rsidRPr="0020190A">
        <w:rPr>
          <w:rFonts w:ascii="Arial" w:eastAsiaTheme="minorEastAsia" w:hAnsi="Arial" w:cs="Arial"/>
          <w:sz w:val="20"/>
          <w:szCs w:val="20"/>
        </w:rPr>
        <w:t xml:space="preserve"> su</w:t>
      </w:r>
      <w:r w:rsidR="00D35935" w:rsidRPr="0020190A">
        <w:rPr>
          <w:rFonts w:ascii="Arial" w:eastAsiaTheme="minorEastAsia" w:hAnsi="Arial" w:cs="Arial"/>
          <w:sz w:val="20"/>
          <w:szCs w:val="20"/>
        </w:rPr>
        <w:t xml:space="preserve"> severidad </w:t>
      </w:r>
      <w:r w:rsidRPr="0020190A">
        <w:rPr>
          <w:rFonts w:ascii="Arial" w:eastAsiaTheme="minorEastAsia" w:hAnsi="Arial" w:cs="Arial"/>
          <w:sz w:val="20"/>
          <w:szCs w:val="20"/>
        </w:rPr>
        <w:t>económic</w:t>
      </w:r>
      <w:r w:rsidR="0020190A" w:rsidRPr="0020190A">
        <w:rPr>
          <w:rFonts w:ascii="Arial" w:eastAsiaTheme="minorEastAsia" w:hAnsi="Arial" w:cs="Arial"/>
          <w:sz w:val="20"/>
          <w:szCs w:val="20"/>
        </w:rPr>
        <w:t>a</w:t>
      </w:r>
      <w:r w:rsidRPr="003F632E">
        <w:rPr>
          <w:rFonts w:ascii="Arial" w:eastAsiaTheme="minorEastAsia" w:hAnsi="Arial" w:cs="Arial"/>
          <w:sz w:val="20"/>
          <w:szCs w:val="20"/>
        </w:rPr>
        <w:t xml:space="preserve"> que puede tener ($/evento). El impacto debe incluir todos los costos en los que se </w:t>
      </w:r>
      <w:r w:rsidR="00606C92">
        <w:rPr>
          <w:rFonts w:ascii="Arial" w:eastAsiaTheme="minorEastAsia" w:hAnsi="Arial" w:cs="Arial"/>
          <w:sz w:val="20"/>
          <w:szCs w:val="20"/>
        </w:rPr>
        <w:t xml:space="preserve">deberán </w:t>
      </w:r>
      <w:r w:rsidRPr="003F632E">
        <w:rPr>
          <w:rFonts w:ascii="Arial" w:eastAsiaTheme="minorEastAsia" w:hAnsi="Arial" w:cs="Arial"/>
          <w:sz w:val="20"/>
          <w:szCs w:val="20"/>
        </w:rPr>
        <w:t>incurr</w:t>
      </w:r>
      <w:r w:rsidR="00606C92">
        <w:rPr>
          <w:rFonts w:ascii="Arial" w:eastAsiaTheme="minorEastAsia" w:hAnsi="Arial" w:cs="Arial"/>
          <w:sz w:val="20"/>
          <w:szCs w:val="20"/>
        </w:rPr>
        <w:t>ir</w:t>
      </w:r>
      <w:r w:rsidRPr="003F632E">
        <w:rPr>
          <w:rFonts w:ascii="Arial" w:eastAsiaTheme="minorEastAsia" w:hAnsi="Arial" w:cs="Arial"/>
          <w:sz w:val="20"/>
          <w:szCs w:val="20"/>
        </w:rPr>
        <w:t xml:space="preserve"> por la ocurrencia del evento (reparaciones, multas por indisponibilidad, lucro cesante,</w:t>
      </w:r>
      <w:r w:rsidR="00711FE2">
        <w:rPr>
          <w:rFonts w:ascii="Arial" w:eastAsiaTheme="minorEastAsia" w:hAnsi="Arial" w:cs="Arial"/>
          <w:sz w:val="20"/>
          <w:szCs w:val="20"/>
        </w:rPr>
        <w:t xml:space="preserve"> compensaciones,</w:t>
      </w:r>
      <w:r w:rsidRPr="003F632E">
        <w:rPr>
          <w:rFonts w:ascii="Arial" w:eastAsiaTheme="minorEastAsia" w:hAnsi="Arial" w:cs="Arial"/>
          <w:sz w:val="20"/>
          <w:szCs w:val="20"/>
        </w:rPr>
        <w:t xml:space="preserve"> entre otros).</w:t>
      </w:r>
    </w:p>
    <w:p w14:paraId="0769E76D" w14:textId="04DFF850" w:rsidR="006F2722" w:rsidRDefault="006F2722" w:rsidP="003F632E">
      <w:pPr>
        <w:spacing w:after="0"/>
        <w:jc w:val="both"/>
        <w:rPr>
          <w:rFonts w:ascii="Arial" w:eastAsiaTheme="minorEastAsia" w:hAnsi="Arial" w:cs="Arial"/>
          <w:sz w:val="20"/>
          <w:szCs w:val="20"/>
        </w:rPr>
      </w:pPr>
    </w:p>
    <w:p w14:paraId="1F45B745" w14:textId="539F7197" w:rsidR="006F2722" w:rsidRPr="00AC6D51" w:rsidRDefault="006F2722" w:rsidP="0008626D">
      <w:pPr>
        <w:pStyle w:val="Prrafodelista"/>
        <w:numPr>
          <w:ilvl w:val="0"/>
          <w:numId w:val="6"/>
        </w:numPr>
        <w:spacing w:after="0"/>
        <w:jc w:val="both"/>
        <w:outlineLvl w:val="0"/>
        <w:rPr>
          <w:rFonts w:ascii="Arial" w:eastAsiaTheme="minorEastAsia" w:hAnsi="Arial" w:cs="Arial"/>
          <w:b/>
          <w:bCs/>
          <w:sz w:val="20"/>
          <w:szCs w:val="20"/>
        </w:rPr>
      </w:pPr>
      <w:bookmarkStart w:id="4" w:name="_Toc132277743"/>
      <w:r w:rsidRPr="00AC6D51">
        <w:rPr>
          <w:rFonts w:ascii="Arial" w:eastAsiaTheme="minorEastAsia" w:hAnsi="Arial" w:cs="Arial"/>
          <w:b/>
          <w:bCs/>
          <w:sz w:val="20"/>
          <w:szCs w:val="20"/>
        </w:rPr>
        <w:t>METODOLOGÍA PARA LA CONSTRUCCIÓN DEL TOTEX</w:t>
      </w:r>
      <w:bookmarkEnd w:id="4"/>
    </w:p>
    <w:p w14:paraId="1BC2B69E" w14:textId="77777777" w:rsidR="00925519" w:rsidRDefault="00925519" w:rsidP="00300BFF">
      <w:pPr>
        <w:spacing w:after="0"/>
        <w:jc w:val="both"/>
        <w:rPr>
          <w:rFonts w:ascii="Arial" w:eastAsiaTheme="minorEastAsia" w:hAnsi="Arial" w:cs="Arial"/>
          <w:sz w:val="20"/>
          <w:szCs w:val="20"/>
        </w:rPr>
      </w:pPr>
    </w:p>
    <w:p w14:paraId="2ECA4A51" w14:textId="2B978B18" w:rsidR="004F198C" w:rsidRDefault="0038121D" w:rsidP="0038121D">
      <w:pPr>
        <w:spacing w:after="0"/>
        <w:jc w:val="both"/>
        <w:rPr>
          <w:rFonts w:ascii="Arial" w:eastAsiaTheme="minorEastAsia" w:hAnsi="Arial" w:cs="Arial"/>
          <w:sz w:val="20"/>
          <w:szCs w:val="20"/>
        </w:rPr>
      </w:pPr>
      <w:r w:rsidRPr="0038121D">
        <w:rPr>
          <w:rFonts w:ascii="Arial" w:eastAsiaTheme="minorEastAsia" w:hAnsi="Arial" w:cs="Arial"/>
          <w:sz w:val="20"/>
          <w:szCs w:val="20"/>
        </w:rPr>
        <w:t>La aplicabilidad de la metodología se considera para la evaluación de nuevos proyectos o ampliaciones y la evaluación de alternativas entre extensión del ciclo de vida o renovación del activo.</w:t>
      </w:r>
    </w:p>
    <w:p w14:paraId="6FBFE258" w14:textId="2F5B46E0" w:rsidR="008B037B" w:rsidRDefault="008B037B" w:rsidP="0038121D">
      <w:pPr>
        <w:spacing w:after="0"/>
        <w:jc w:val="both"/>
        <w:rPr>
          <w:rFonts w:ascii="Arial" w:eastAsiaTheme="minorEastAsia" w:hAnsi="Arial" w:cs="Arial"/>
          <w:sz w:val="20"/>
          <w:szCs w:val="20"/>
        </w:rPr>
      </w:pPr>
    </w:p>
    <w:p w14:paraId="5BBAD16C" w14:textId="6CAF94ED" w:rsidR="008B037B" w:rsidRPr="00AC6D51" w:rsidRDefault="00261957" w:rsidP="0008626D">
      <w:pPr>
        <w:pStyle w:val="Prrafodelista"/>
        <w:numPr>
          <w:ilvl w:val="1"/>
          <w:numId w:val="6"/>
        </w:numPr>
        <w:spacing w:after="0"/>
        <w:ind w:left="426"/>
        <w:jc w:val="both"/>
        <w:outlineLvl w:val="1"/>
        <w:rPr>
          <w:rFonts w:ascii="Arial" w:eastAsiaTheme="minorEastAsia" w:hAnsi="Arial" w:cs="Arial"/>
          <w:b/>
          <w:bCs/>
          <w:sz w:val="20"/>
          <w:szCs w:val="20"/>
        </w:rPr>
      </w:pPr>
      <w:bookmarkStart w:id="5" w:name="_Toc132277744"/>
      <w:r w:rsidRPr="00AC6D51">
        <w:rPr>
          <w:rFonts w:ascii="Arial" w:eastAsiaTheme="minorEastAsia" w:hAnsi="Arial" w:cs="Arial"/>
          <w:b/>
          <w:bCs/>
          <w:sz w:val="20"/>
          <w:szCs w:val="20"/>
        </w:rPr>
        <w:t>ACTIVOS NUEVOS: NUEVOS PROYECTOS O AMPLIACIONES</w:t>
      </w:r>
      <w:bookmarkEnd w:id="5"/>
    </w:p>
    <w:p w14:paraId="26F1400F" w14:textId="16DF9AB5" w:rsidR="00AC6D51" w:rsidRPr="00EF64AB" w:rsidRDefault="00AC6D51" w:rsidP="00AC6D51">
      <w:pPr>
        <w:spacing w:after="0"/>
        <w:jc w:val="both"/>
        <w:rPr>
          <w:rFonts w:ascii="Arial" w:eastAsiaTheme="minorEastAsia" w:hAnsi="Arial" w:cs="Arial"/>
          <w:sz w:val="20"/>
          <w:szCs w:val="20"/>
        </w:rPr>
      </w:pPr>
    </w:p>
    <w:p w14:paraId="1B3EC2AF" w14:textId="311ED138" w:rsidR="00AC6D51" w:rsidRDefault="00EF64AB" w:rsidP="00EF64AB">
      <w:pPr>
        <w:spacing w:after="0"/>
        <w:jc w:val="both"/>
        <w:rPr>
          <w:rFonts w:ascii="Arial" w:eastAsiaTheme="minorEastAsia" w:hAnsi="Arial" w:cs="Arial"/>
          <w:sz w:val="20"/>
          <w:szCs w:val="20"/>
        </w:rPr>
      </w:pPr>
      <w:r w:rsidRPr="00EF64AB">
        <w:rPr>
          <w:rFonts w:ascii="Arial" w:eastAsiaTheme="minorEastAsia" w:hAnsi="Arial" w:cs="Arial"/>
          <w:sz w:val="20"/>
          <w:szCs w:val="20"/>
        </w:rPr>
        <w:t xml:space="preserve">Para aquellos casos que impliquen nuevos ingresos para la empresa, el análisis del caso de negocio integral se realiza con la modelación </w:t>
      </w:r>
      <w:r w:rsidR="00F5572D" w:rsidRPr="00247351">
        <w:rPr>
          <w:rFonts w:ascii="Arial" w:eastAsiaTheme="minorEastAsia" w:hAnsi="Arial" w:cs="Arial"/>
          <w:sz w:val="20"/>
          <w:szCs w:val="20"/>
        </w:rPr>
        <w:t>del equipo</w:t>
      </w:r>
      <w:r w:rsidR="00681D69" w:rsidRPr="00247351">
        <w:rPr>
          <w:rFonts w:ascii="Arial" w:eastAsiaTheme="minorEastAsia" w:hAnsi="Arial" w:cs="Arial"/>
          <w:sz w:val="20"/>
          <w:szCs w:val="20"/>
        </w:rPr>
        <w:t xml:space="preserve"> de</w:t>
      </w:r>
      <w:r w:rsidR="00C15E32" w:rsidRPr="00247351">
        <w:rPr>
          <w:rFonts w:ascii="Arial" w:eastAsiaTheme="minorEastAsia" w:hAnsi="Arial" w:cs="Arial"/>
          <w:sz w:val="20"/>
          <w:szCs w:val="20"/>
        </w:rPr>
        <w:t xml:space="preserve"> Desarrollo de</w:t>
      </w:r>
      <w:r w:rsidR="00681D69" w:rsidRPr="00247351">
        <w:rPr>
          <w:rFonts w:ascii="Arial" w:eastAsiaTheme="minorEastAsia" w:hAnsi="Arial" w:cs="Arial"/>
          <w:sz w:val="20"/>
          <w:szCs w:val="20"/>
        </w:rPr>
        <w:t xml:space="preserve"> Nuevos Negocio</w:t>
      </w:r>
      <w:r w:rsidR="00C963B4" w:rsidRPr="00247351">
        <w:rPr>
          <w:rFonts w:ascii="Arial" w:eastAsiaTheme="minorEastAsia" w:hAnsi="Arial" w:cs="Arial"/>
          <w:sz w:val="20"/>
          <w:szCs w:val="20"/>
        </w:rPr>
        <w:t xml:space="preserve"> </w:t>
      </w:r>
      <w:r w:rsidR="00C15E32" w:rsidRPr="00247351">
        <w:rPr>
          <w:rFonts w:ascii="Arial" w:eastAsiaTheme="minorEastAsia" w:hAnsi="Arial" w:cs="Arial"/>
          <w:sz w:val="20"/>
          <w:szCs w:val="20"/>
        </w:rPr>
        <w:t>(área</w:t>
      </w:r>
      <w:r w:rsidR="00C15E32" w:rsidRPr="00C15E32">
        <w:rPr>
          <w:rFonts w:ascii="Arial" w:eastAsiaTheme="minorEastAsia" w:hAnsi="Arial" w:cs="Arial"/>
          <w:sz w:val="20"/>
          <w:szCs w:val="20"/>
        </w:rPr>
        <w:t xml:space="preserve"> en proceso </w:t>
      </w:r>
      <w:r w:rsidR="00C15E32" w:rsidRPr="00C15E32">
        <w:rPr>
          <w:rFonts w:ascii="Arial" w:eastAsiaTheme="minorEastAsia" w:hAnsi="Arial" w:cs="Arial"/>
          <w:sz w:val="20"/>
          <w:szCs w:val="20"/>
        </w:rPr>
        <w:lastRenderedPageBreak/>
        <w:t>de revisión y estructuración</w:t>
      </w:r>
      <w:r w:rsidR="00C930D7">
        <w:rPr>
          <w:rFonts w:ascii="Arial" w:eastAsiaTheme="minorEastAsia" w:hAnsi="Arial" w:cs="Arial"/>
          <w:sz w:val="20"/>
          <w:szCs w:val="20"/>
        </w:rPr>
        <w:t>) o su equivalente en conjunto con</w:t>
      </w:r>
      <w:r w:rsidR="00C963B4">
        <w:rPr>
          <w:rFonts w:ascii="Arial" w:eastAsiaTheme="minorEastAsia" w:hAnsi="Arial" w:cs="Arial"/>
          <w:sz w:val="20"/>
          <w:szCs w:val="20"/>
        </w:rPr>
        <w:t xml:space="preserve"> el Especialista de Planeación y Evaluación de Nuevos Negocios</w:t>
      </w:r>
      <w:r w:rsidRPr="00EF64AB">
        <w:rPr>
          <w:rFonts w:ascii="Arial" w:eastAsiaTheme="minorEastAsia" w:hAnsi="Arial" w:cs="Arial"/>
          <w:sz w:val="20"/>
          <w:szCs w:val="20"/>
        </w:rPr>
        <w:t xml:space="preserve"> </w:t>
      </w:r>
      <w:r w:rsidR="00B12F44">
        <w:rPr>
          <w:rFonts w:ascii="Arial" w:eastAsiaTheme="minorEastAsia" w:hAnsi="Arial" w:cs="Arial"/>
          <w:sz w:val="20"/>
          <w:szCs w:val="20"/>
        </w:rPr>
        <w:t>con el apoyo de la</w:t>
      </w:r>
      <w:r w:rsidR="00182354">
        <w:rPr>
          <w:rFonts w:ascii="Arial" w:eastAsiaTheme="minorEastAsia" w:hAnsi="Arial" w:cs="Arial"/>
          <w:sz w:val="20"/>
          <w:szCs w:val="20"/>
        </w:rPr>
        <w:t xml:space="preserve"> </w:t>
      </w:r>
      <w:r w:rsidR="0034663B">
        <w:rPr>
          <w:rFonts w:ascii="Arial" w:eastAsiaTheme="minorEastAsia" w:hAnsi="Arial" w:cs="Arial"/>
          <w:sz w:val="20"/>
          <w:szCs w:val="20"/>
        </w:rPr>
        <w:t>Gerencia de Finanzas</w:t>
      </w:r>
      <w:r w:rsidRPr="00EF64AB">
        <w:rPr>
          <w:rFonts w:ascii="Arial" w:eastAsiaTheme="minorEastAsia" w:hAnsi="Arial" w:cs="Arial"/>
          <w:sz w:val="20"/>
          <w:szCs w:val="20"/>
        </w:rPr>
        <w:t xml:space="preserve"> cuando así lo considere</w:t>
      </w:r>
      <w:r w:rsidR="00B12F44">
        <w:rPr>
          <w:rFonts w:ascii="Arial" w:eastAsiaTheme="minorEastAsia" w:hAnsi="Arial" w:cs="Arial"/>
          <w:sz w:val="20"/>
          <w:szCs w:val="20"/>
        </w:rPr>
        <w:t>n</w:t>
      </w:r>
      <w:r w:rsidRPr="00EF64AB">
        <w:rPr>
          <w:rFonts w:ascii="Arial" w:eastAsiaTheme="minorEastAsia" w:hAnsi="Arial" w:cs="Arial"/>
          <w:sz w:val="20"/>
          <w:szCs w:val="20"/>
        </w:rPr>
        <w:t>.</w:t>
      </w:r>
      <w:r w:rsidRPr="00EF64AB">
        <w:rPr>
          <w:rFonts w:ascii="Arial" w:eastAsiaTheme="minorEastAsia" w:hAnsi="Arial" w:cs="Arial"/>
          <w:sz w:val="20"/>
          <w:szCs w:val="20"/>
        </w:rPr>
        <w:cr/>
      </w:r>
    </w:p>
    <w:p w14:paraId="10A67F68" w14:textId="6DF9C687" w:rsidR="00BF3806" w:rsidRDefault="00BF3806" w:rsidP="00BF3806">
      <w:pPr>
        <w:spacing w:after="0"/>
        <w:jc w:val="both"/>
        <w:rPr>
          <w:rFonts w:ascii="Arial" w:eastAsiaTheme="minorEastAsia" w:hAnsi="Arial" w:cs="Arial"/>
          <w:sz w:val="20"/>
          <w:szCs w:val="20"/>
        </w:rPr>
      </w:pPr>
      <w:r w:rsidRPr="00BF3806">
        <w:rPr>
          <w:rFonts w:ascii="Arial" w:eastAsiaTheme="minorEastAsia" w:hAnsi="Arial" w:cs="Arial"/>
          <w:sz w:val="20"/>
          <w:szCs w:val="20"/>
        </w:rPr>
        <w:t>Para este fin se utilizarán conceptos financieros, tales como:</w:t>
      </w:r>
    </w:p>
    <w:p w14:paraId="224220EE" w14:textId="77777777" w:rsidR="00BF3806" w:rsidRDefault="00BF3806" w:rsidP="00BF3806">
      <w:pPr>
        <w:spacing w:after="0"/>
        <w:jc w:val="both"/>
        <w:rPr>
          <w:rFonts w:ascii="Arial" w:eastAsiaTheme="minorEastAsia" w:hAnsi="Arial" w:cs="Arial"/>
          <w:sz w:val="20"/>
          <w:szCs w:val="20"/>
        </w:rPr>
      </w:pPr>
    </w:p>
    <w:p w14:paraId="7DB89304" w14:textId="2CECFCD6" w:rsidR="00BF3806" w:rsidRDefault="00BF3806" w:rsidP="00BF3806">
      <w:pPr>
        <w:pStyle w:val="Prrafodelista"/>
        <w:numPr>
          <w:ilvl w:val="0"/>
          <w:numId w:val="7"/>
        </w:numPr>
        <w:spacing w:after="0"/>
        <w:jc w:val="both"/>
        <w:rPr>
          <w:rFonts w:ascii="Arial" w:eastAsiaTheme="minorEastAsia" w:hAnsi="Arial" w:cs="Arial"/>
          <w:sz w:val="20"/>
          <w:szCs w:val="20"/>
        </w:rPr>
      </w:pPr>
      <w:r w:rsidRPr="002F5669">
        <w:rPr>
          <w:rFonts w:ascii="Arial" w:eastAsiaTheme="minorEastAsia" w:hAnsi="Arial" w:cs="Arial"/>
          <w:b/>
          <w:bCs/>
          <w:sz w:val="20"/>
          <w:szCs w:val="20"/>
        </w:rPr>
        <w:t>VPN</w:t>
      </w:r>
      <w:r w:rsidRPr="00BF3806">
        <w:rPr>
          <w:rFonts w:ascii="Arial" w:eastAsiaTheme="minorEastAsia" w:hAnsi="Arial" w:cs="Arial"/>
          <w:sz w:val="20"/>
          <w:szCs w:val="20"/>
        </w:rPr>
        <w:t>: El Valor Presente Neto (VPN) corresponde a la suma descontada de todos los flujos de costos e ingresos relacionados con un activo, grupo de activos o proyecto.</w:t>
      </w:r>
    </w:p>
    <w:p w14:paraId="1AAC654D" w14:textId="77777777" w:rsidR="00BF3806" w:rsidRDefault="00BF3806" w:rsidP="00BF3806">
      <w:pPr>
        <w:pStyle w:val="Prrafodelista"/>
        <w:spacing w:after="0"/>
        <w:jc w:val="both"/>
        <w:rPr>
          <w:rFonts w:ascii="Arial" w:eastAsiaTheme="minorEastAsia" w:hAnsi="Arial" w:cs="Arial"/>
          <w:sz w:val="20"/>
          <w:szCs w:val="20"/>
        </w:rPr>
      </w:pPr>
    </w:p>
    <w:p w14:paraId="010F3EA4" w14:textId="77777777" w:rsidR="004705EC" w:rsidRDefault="00BF3806" w:rsidP="00BF3806">
      <w:pPr>
        <w:pStyle w:val="Prrafodelista"/>
        <w:numPr>
          <w:ilvl w:val="0"/>
          <w:numId w:val="7"/>
        </w:numPr>
        <w:spacing w:after="0"/>
        <w:jc w:val="both"/>
        <w:rPr>
          <w:rFonts w:ascii="Arial" w:eastAsiaTheme="minorEastAsia" w:hAnsi="Arial" w:cs="Arial"/>
          <w:sz w:val="20"/>
          <w:szCs w:val="20"/>
        </w:rPr>
      </w:pPr>
      <w:r w:rsidRPr="004705EC">
        <w:rPr>
          <w:rFonts w:ascii="Arial" w:eastAsiaTheme="minorEastAsia" w:hAnsi="Arial" w:cs="Arial"/>
          <w:b/>
          <w:bCs/>
          <w:sz w:val="20"/>
          <w:szCs w:val="20"/>
        </w:rPr>
        <w:t>CAE</w:t>
      </w:r>
      <w:r w:rsidRPr="004705EC">
        <w:rPr>
          <w:rFonts w:ascii="Arial" w:eastAsiaTheme="minorEastAsia" w:hAnsi="Arial" w:cs="Arial"/>
          <w:sz w:val="20"/>
          <w:szCs w:val="20"/>
        </w:rPr>
        <w:t>: El Costo Anual Equivalente (CAE) es la equivalencia del Valor Presente Neto mediante un flujo o pago anual constante en el horizonte de tiempo definido.</w:t>
      </w:r>
    </w:p>
    <w:p w14:paraId="40E2C99C" w14:textId="77777777" w:rsidR="004705EC" w:rsidRPr="004705EC" w:rsidRDefault="004705EC" w:rsidP="004705EC">
      <w:pPr>
        <w:pStyle w:val="Prrafodelista"/>
        <w:rPr>
          <w:rFonts w:ascii="Arial" w:eastAsiaTheme="minorEastAsia" w:hAnsi="Arial" w:cs="Arial"/>
          <w:sz w:val="20"/>
          <w:szCs w:val="20"/>
        </w:rPr>
      </w:pPr>
    </w:p>
    <w:p w14:paraId="58977EDD" w14:textId="50564CB4" w:rsidR="00DF79DF" w:rsidRPr="003F067B" w:rsidRDefault="00BF3806" w:rsidP="00BF3806">
      <w:pPr>
        <w:pStyle w:val="Prrafodelista"/>
        <w:numPr>
          <w:ilvl w:val="0"/>
          <w:numId w:val="7"/>
        </w:numPr>
        <w:spacing w:after="0"/>
        <w:jc w:val="both"/>
        <w:rPr>
          <w:rFonts w:ascii="Arial" w:eastAsiaTheme="minorEastAsia" w:hAnsi="Arial" w:cs="Arial"/>
          <w:sz w:val="20"/>
          <w:szCs w:val="20"/>
        </w:rPr>
      </w:pPr>
      <w:r w:rsidRPr="004705EC">
        <w:rPr>
          <w:rFonts w:ascii="Arial" w:eastAsiaTheme="minorEastAsia" w:hAnsi="Arial" w:cs="Arial"/>
          <w:b/>
          <w:bCs/>
          <w:sz w:val="20"/>
          <w:szCs w:val="20"/>
        </w:rPr>
        <w:t>TIR</w:t>
      </w:r>
      <w:r w:rsidRPr="004705EC">
        <w:rPr>
          <w:rFonts w:ascii="Arial" w:eastAsiaTheme="minorEastAsia" w:hAnsi="Arial" w:cs="Arial"/>
          <w:sz w:val="20"/>
          <w:szCs w:val="20"/>
        </w:rPr>
        <w:t>: La Tasa Interna de Retorno (TIR) mide la rentabilidad de los ingresos menos los costos</w:t>
      </w:r>
      <w:r w:rsidR="004705EC">
        <w:rPr>
          <w:rFonts w:ascii="Arial" w:eastAsiaTheme="minorEastAsia" w:hAnsi="Arial" w:cs="Arial"/>
          <w:sz w:val="20"/>
          <w:szCs w:val="20"/>
        </w:rPr>
        <w:t xml:space="preserve"> </w:t>
      </w:r>
      <w:r w:rsidRPr="004705EC">
        <w:rPr>
          <w:rFonts w:ascii="Arial" w:eastAsiaTheme="minorEastAsia" w:hAnsi="Arial" w:cs="Arial"/>
          <w:sz w:val="20"/>
          <w:szCs w:val="20"/>
        </w:rPr>
        <w:t>asociados a un activo, grupo de activos o proyecto.</w:t>
      </w:r>
    </w:p>
    <w:p w14:paraId="634C331B" w14:textId="77777777" w:rsidR="003F067B" w:rsidRPr="003F067B" w:rsidRDefault="003F067B" w:rsidP="003F067B">
      <w:pPr>
        <w:pStyle w:val="Prrafodelista"/>
        <w:rPr>
          <w:rFonts w:ascii="Arial" w:eastAsiaTheme="minorEastAsia" w:hAnsi="Arial" w:cs="Arial"/>
          <w:sz w:val="20"/>
          <w:szCs w:val="20"/>
        </w:rPr>
      </w:pPr>
    </w:p>
    <w:p w14:paraId="19C986FC" w14:textId="168D8A74" w:rsidR="003F067B" w:rsidRDefault="00247351" w:rsidP="003F067B">
      <w:pPr>
        <w:spacing w:after="0"/>
        <w:jc w:val="both"/>
        <w:rPr>
          <w:rFonts w:ascii="Arial" w:eastAsiaTheme="minorEastAsia" w:hAnsi="Arial" w:cs="Arial"/>
          <w:sz w:val="20"/>
          <w:szCs w:val="20"/>
        </w:rPr>
      </w:pPr>
      <w:r w:rsidRPr="004B6258">
        <w:rPr>
          <w:rFonts w:ascii="Arial" w:eastAsiaTheme="minorEastAsia" w:hAnsi="Arial" w:cs="Arial"/>
          <w:sz w:val="20"/>
          <w:szCs w:val="20"/>
        </w:rPr>
        <w:t xml:space="preserve">El equipo de Desarrollo de Nuevos Negocios </w:t>
      </w:r>
      <w:r w:rsidR="005A3609" w:rsidRPr="004B6258">
        <w:rPr>
          <w:rFonts w:ascii="Arial" w:eastAsiaTheme="minorEastAsia" w:hAnsi="Arial" w:cs="Arial"/>
          <w:sz w:val="20"/>
          <w:szCs w:val="20"/>
        </w:rPr>
        <w:t xml:space="preserve">y/o Especialista </w:t>
      </w:r>
      <w:r w:rsidR="004B6258" w:rsidRPr="004B6258">
        <w:rPr>
          <w:rFonts w:ascii="Arial" w:eastAsiaTheme="minorEastAsia" w:hAnsi="Arial" w:cs="Arial"/>
          <w:sz w:val="20"/>
          <w:szCs w:val="20"/>
        </w:rPr>
        <w:t xml:space="preserve">de Planeación y Evaluación </w:t>
      </w:r>
      <w:r w:rsidR="005A3609" w:rsidRPr="004B6258">
        <w:rPr>
          <w:rFonts w:ascii="Arial" w:eastAsiaTheme="minorEastAsia" w:hAnsi="Arial" w:cs="Arial"/>
          <w:sz w:val="20"/>
          <w:szCs w:val="20"/>
        </w:rPr>
        <w:t xml:space="preserve">de Nuevos Negocio </w:t>
      </w:r>
      <w:r w:rsidR="003F067B" w:rsidRPr="004B6258">
        <w:rPr>
          <w:rFonts w:ascii="Arial" w:eastAsiaTheme="minorEastAsia" w:hAnsi="Arial" w:cs="Arial"/>
          <w:sz w:val="20"/>
          <w:szCs w:val="20"/>
        </w:rPr>
        <w:t>o</w:t>
      </w:r>
      <w:r w:rsidR="003F067B" w:rsidRPr="003F067B">
        <w:rPr>
          <w:rFonts w:ascii="Arial" w:eastAsiaTheme="minorEastAsia" w:hAnsi="Arial" w:cs="Arial"/>
          <w:sz w:val="20"/>
          <w:szCs w:val="20"/>
        </w:rPr>
        <w:t xml:space="preserve"> la </w:t>
      </w:r>
      <w:r w:rsidR="005A3609">
        <w:rPr>
          <w:rFonts w:ascii="Arial" w:eastAsiaTheme="minorEastAsia" w:hAnsi="Arial" w:cs="Arial"/>
          <w:sz w:val="20"/>
          <w:szCs w:val="20"/>
        </w:rPr>
        <w:t>Gerencia de</w:t>
      </w:r>
      <w:r w:rsidR="003F067B" w:rsidRPr="003F067B">
        <w:rPr>
          <w:rFonts w:ascii="Arial" w:eastAsiaTheme="minorEastAsia" w:hAnsi="Arial" w:cs="Arial"/>
          <w:sz w:val="20"/>
          <w:szCs w:val="20"/>
        </w:rPr>
        <w:t xml:space="preserve"> Finanzas de </w:t>
      </w:r>
      <w:r w:rsidR="005A3609">
        <w:rPr>
          <w:rFonts w:ascii="Arial" w:eastAsiaTheme="minorEastAsia" w:hAnsi="Arial" w:cs="Arial"/>
          <w:sz w:val="20"/>
          <w:szCs w:val="20"/>
        </w:rPr>
        <w:t>Interchile</w:t>
      </w:r>
      <w:r w:rsidR="003F067B" w:rsidRPr="003F067B">
        <w:rPr>
          <w:rFonts w:ascii="Arial" w:eastAsiaTheme="minorEastAsia" w:hAnsi="Arial" w:cs="Arial"/>
          <w:sz w:val="20"/>
          <w:szCs w:val="20"/>
        </w:rPr>
        <w:t xml:space="preserve"> seleccionará el criterio de evaluación a utilizar teniendo en cuenta las particularidades </w:t>
      </w:r>
      <w:r w:rsidR="00A44BB4" w:rsidRPr="003F067B">
        <w:rPr>
          <w:rFonts w:ascii="Arial" w:eastAsiaTheme="minorEastAsia" w:hAnsi="Arial" w:cs="Arial"/>
          <w:sz w:val="20"/>
          <w:szCs w:val="20"/>
        </w:rPr>
        <w:t>del</w:t>
      </w:r>
      <w:r w:rsidR="00A44BB4">
        <w:rPr>
          <w:rFonts w:ascii="Arial" w:eastAsiaTheme="minorEastAsia" w:hAnsi="Arial" w:cs="Arial"/>
          <w:sz w:val="20"/>
          <w:szCs w:val="20"/>
        </w:rPr>
        <w:t xml:space="preserve"> caso</w:t>
      </w:r>
      <w:r w:rsidR="003F067B" w:rsidRPr="003F067B">
        <w:rPr>
          <w:rFonts w:ascii="Arial" w:eastAsiaTheme="minorEastAsia" w:hAnsi="Arial" w:cs="Arial"/>
          <w:sz w:val="20"/>
          <w:szCs w:val="20"/>
        </w:rPr>
        <w:t xml:space="preserve"> que se vaya a analizar. Para aquellos casos en los que se utilice el VPN como criterio de análisis, la tasa de descuento a utilizar se definirá con base en el WACC de </w:t>
      </w:r>
      <w:r w:rsidR="00A44BB4">
        <w:rPr>
          <w:rFonts w:ascii="Arial" w:eastAsiaTheme="minorEastAsia" w:hAnsi="Arial" w:cs="Arial"/>
          <w:sz w:val="20"/>
          <w:szCs w:val="20"/>
        </w:rPr>
        <w:t>Interchile</w:t>
      </w:r>
      <w:r w:rsidR="003F067B" w:rsidRPr="003F067B">
        <w:rPr>
          <w:rFonts w:ascii="Arial" w:eastAsiaTheme="minorEastAsia" w:hAnsi="Arial" w:cs="Arial"/>
          <w:sz w:val="20"/>
          <w:szCs w:val="20"/>
        </w:rPr>
        <w:t xml:space="preserve"> o en la tasa de rentabilidad esperada para el accionista, esta última para aquellos casos relacionados con </w:t>
      </w:r>
      <w:r w:rsidR="0018491B" w:rsidRPr="003F067B">
        <w:rPr>
          <w:rFonts w:ascii="Arial" w:eastAsiaTheme="minorEastAsia" w:hAnsi="Arial" w:cs="Arial"/>
          <w:sz w:val="20"/>
          <w:szCs w:val="20"/>
        </w:rPr>
        <w:t xml:space="preserve">la </w:t>
      </w:r>
      <w:r w:rsidR="0018491B">
        <w:rPr>
          <w:rFonts w:ascii="Arial" w:eastAsiaTheme="minorEastAsia" w:hAnsi="Arial" w:cs="Arial"/>
          <w:sz w:val="20"/>
          <w:szCs w:val="20"/>
        </w:rPr>
        <w:t>generación</w:t>
      </w:r>
      <w:r w:rsidR="003F067B" w:rsidRPr="003F067B">
        <w:rPr>
          <w:rFonts w:ascii="Arial" w:eastAsiaTheme="minorEastAsia" w:hAnsi="Arial" w:cs="Arial"/>
          <w:sz w:val="20"/>
          <w:szCs w:val="20"/>
        </w:rPr>
        <w:t xml:space="preserve"> de nuevos ingresos para la empresa</w:t>
      </w:r>
      <w:r w:rsidR="0018491B">
        <w:rPr>
          <w:rFonts w:ascii="Arial" w:eastAsiaTheme="minorEastAsia" w:hAnsi="Arial" w:cs="Arial"/>
          <w:sz w:val="20"/>
          <w:szCs w:val="20"/>
        </w:rPr>
        <w:t>.</w:t>
      </w:r>
    </w:p>
    <w:p w14:paraId="72604FD5" w14:textId="49772649" w:rsidR="007A1C68" w:rsidRDefault="007A1C68" w:rsidP="003F067B">
      <w:pPr>
        <w:spacing w:after="0"/>
        <w:jc w:val="both"/>
        <w:rPr>
          <w:rFonts w:ascii="Arial" w:eastAsiaTheme="minorEastAsia" w:hAnsi="Arial" w:cs="Arial"/>
          <w:sz w:val="20"/>
          <w:szCs w:val="20"/>
        </w:rPr>
      </w:pPr>
    </w:p>
    <w:p w14:paraId="11AA3D1A" w14:textId="77777777" w:rsidR="00CD6BE6" w:rsidRPr="00CD6BE6" w:rsidRDefault="00CD6BE6" w:rsidP="00CD6BE6">
      <w:pPr>
        <w:spacing w:after="0"/>
        <w:jc w:val="both"/>
        <w:rPr>
          <w:rFonts w:ascii="Arial" w:eastAsiaTheme="minorEastAsia" w:hAnsi="Arial" w:cs="Arial"/>
          <w:sz w:val="20"/>
          <w:szCs w:val="20"/>
        </w:rPr>
      </w:pPr>
      <w:r w:rsidRPr="00CD6BE6">
        <w:rPr>
          <w:rFonts w:ascii="Arial" w:eastAsiaTheme="minorEastAsia" w:hAnsi="Arial" w:cs="Arial"/>
          <w:sz w:val="20"/>
          <w:szCs w:val="20"/>
        </w:rPr>
        <w:t xml:space="preserve">Acorde con lo anterior, se resume a continuación la fuente de información para la construcción del </w:t>
      </w:r>
    </w:p>
    <w:p w14:paraId="7B049429" w14:textId="77B0E9F2" w:rsidR="007A1C68" w:rsidRDefault="00CD6BE6" w:rsidP="00CD6BE6">
      <w:pPr>
        <w:spacing w:after="0"/>
        <w:jc w:val="both"/>
        <w:rPr>
          <w:rFonts w:ascii="Arial" w:eastAsiaTheme="minorEastAsia" w:hAnsi="Arial" w:cs="Arial"/>
          <w:sz w:val="20"/>
          <w:szCs w:val="20"/>
        </w:rPr>
      </w:pPr>
      <w:r w:rsidRPr="00CD6BE6">
        <w:rPr>
          <w:rFonts w:ascii="Arial" w:eastAsiaTheme="minorEastAsia" w:hAnsi="Arial" w:cs="Arial"/>
          <w:sz w:val="20"/>
          <w:szCs w:val="20"/>
        </w:rPr>
        <w:t>CAPEX y OPEX de este grupo de activos:</w:t>
      </w:r>
    </w:p>
    <w:p w14:paraId="590BE718" w14:textId="38AD5910" w:rsidR="00CD6BE6" w:rsidRDefault="00CD6BE6" w:rsidP="00CD6BE6">
      <w:pPr>
        <w:spacing w:after="0"/>
        <w:jc w:val="both"/>
        <w:rPr>
          <w:rFonts w:ascii="Arial" w:eastAsiaTheme="minorEastAsia" w:hAnsi="Arial" w:cs="Arial"/>
          <w:sz w:val="20"/>
          <w:szCs w:val="20"/>
        </w:rPr>
      </w:pPr>
    </w:p>
    <w:tbl>
      <w:tblPr>
        <w:tblStyle w:val="Tablaconcuadrcula"/>
        <w:tblW w:w="8839" w:type="dxa"/>
        <w:tblLook w:val="04A0" w:firstRow="1" w:lastRow="0" w:firstColumn="1" w:lastColumn="0" w:noHBand="0" w:noVBand="1"/>
      </w:tblPr>
      <w:tblGrid>
        <w:gridCol w:w="2263"/>
        <w:gridCol w:w="3288"/>
        <w:gridCol w:w="3288"/>
      </w:tblGrid>
      <w:tr w:rsidR="00F647E4" w14:paraId="35D70D94" w14:textId="77777777" w:rsidTr="00C40EF7">
        <w:tc>
          <w:tcPr>
            <w:tcW w:w="2263" w:type="dxa"/>
            <w:shd w:val="clear" w:color="auto" w:fill="D9D9D9" w:themeFill="background1" w:themeFillShade="D9"/>
          </w:tcPr>
          <w:p w14:paraId="44BEE14D" w14:textId="00ED08A2" w:rsidR="00F647E4" w:rsidRPr="005807E6" w:rsidRDefault="00F647E4" w:rsidP="005807E6">
            <w:pPr>
              <w:jc w:val="center"/>
              <w:rPr>
                <w:rFonts w:ascii="Arial" w:eastAsiaTheme="minorEastAsia" w:hAnsi="Arial" w:cs="Arial"/>
                <w:b/>
                <w:bCs/>
                <w:sz w:val="20"/>
                <w:szCs w:val="20"/>
                <w:lang w:val="es-CL"/>
              </w:rPr>
            </w:pPr>
            <w:r w:rsidRPr="005807E6">
              <w:rPr>
                <w:rFonts w:ascii="Arial" w:eastAsiaTheme="minorEastAsia" w:hAnsi="Arial" w:cs="Arial"/>
                <w:b/>
                <w:bCs/>
                <w:sz w:val="20"/>
                <w:szCs w:val="20"/>
                <w:lang w:val="es-CL"/>
              </w:rPr>
              <w:t>INSUMO</w:t>
            </w:r>
          </w:p>
        </w:tc>
        <w:tc>
          <w:tcPr>
            <w:tcW w:w="3288" w:type="dxa"/>
            <w:shd w:val="clear" w:color="auto" w:fill="D9D9D9" w:themeFill="background1" w:themeFillShade="D9"/>
          </w:tcPr>
          <w:p w14:paraId="69D61E7D" w14:textId="415DBCA2" w:rsidR="00F647E4" w:rsidRPr="005807E6" w:rsidRDefault="00F647E4" w:rsidP="005807E6">
            <w:pPr>
              <w:jc w:val="center"/>
              <w:rPr>
                <w:rFonts w:ascii="Arial" w:eastAsiaTheme="minorEastAsia" w:hAnsi="Arial" w:cs="Arial"/>
                <w:b/>
                <w:bCs/>
                <w:sz w:val="20"/>
                <w:szCs w:val="20"/>
                <w:lang w:val="es-CL"/>
              </w:rPr>
            </w:pPr>
            <w:r w:rsidRPr="005807E6">
              <w:rPr>
                <w:rFonts w:ascii="Arial" w:eastAsiaTheme="minorEastAsia" w:hAnsi="Arial" w:cs="Arial"/>
                <w:b/>
                <w:bCs/>
                <w:sz w:val="20"/>
                <w:szCs w:val="20"/>
                <w:lang w:val="es-CL"/>
              </w:rPr>
              <w:t xml:space="preserve">BASE DE </w:t>
            </w:r>
            <w:r w:rsidR="005807E6" w:rsidRPr="005807E6">
              <w:rPr>
                <w:rFonts w:ascii="Arial" w:eastAsiaTheme="minorEastAsia" w:hAnsi="Arial" w:cs="Arial"/>
                <w:b/>
                <w:bCs/>
                <w:sz w:val="20"/>
                <w:szCs w:val="20"/>
                <w:lang w:val="es-CL"/>
              </w:rPr>
              <w:t>INFORMACIÓN</w:t>
            </w:r>
          </w:p>
        </w:tc>
        <w:tc>
          <w:tcPr>
            <w:tcW w:w="3288" w:type="dxa"/>
            <w:shd w:val="clear" w:color="auto" w:fill="D9D9D9" w:themeFill="background1" w:themeFillShade="D9"/>
          </w:tcPr>
          <w:p w14:paraId="565C813E" w14:textId="5205CBE6" w:rsidR="00F647E4" w:rsidRPr="005807E6" w:rsidRDefault="00F647E4" w:rsidP="005807E6">
            <w:pPr>
              <w:jc w:val="center"/>
              <w:rPr>
                <w:rFonts w:ascii="Arial" w:eastAsiaTheme="minorEastAsia" w:hAnsi="Arial" w:cs="Arial"/>
                <w:b/>
                <w:bCs/>
                <w:sz w:val="20"/>
                <w:szCs w:val="20"/>
                <w:lang w:val="es-CL"/>
              </w:rPr>
            </w:pPr>
            <w:r w:rsidRPr="005807E6">
              <w:rPr>
                <w:rFonts w:ascii="Arial" w:eastAsiaTheme="minorEastAsia" w:hAnsi="Arial" w:cs="Arial"/>
                <w:b/>
                <w:bCs/>
                <w:sz w:val="20"/>
                <w:szCs w:val="20"/>
                <w:lang w:val="es-CL"/>
              </w:rPr>
              <w:t>RESPONSABLES</w:t>
            </w:r>
          </w:p>
        </w:tc>
      </w:tr>
      <w:tr w:rsidR="00F647E4" w14:paraId="60F1F7C5" w14:textId="77777777" w:rsidTr="00C40EF7">
        <w:tc>
          <w:tcPr>
            <w:tcW w:w="2263" w:type="dxa"/>
          </w:tcPr>
          <w:p w14:paraId="1630A961" w14:textId="4D4AC6D4" w:rsidR="00F647E4" w:rsidRPr="005807E6" w:rsidRDefault="00ED5F81" w:rsidP="00CD6BE6">
            <w:pPr>
              <w:jc w:val="both"/>
              <w:rPr>
                <w:rFonts w:ascii="Arial" w:eastAsiaTheme="minorEastAsia" w:hAnsi="Arial" w:cs="Arial"/>
                <w:sz w:val="20"/>
                <w:szCs w:val="20"/>
                <w:lang w:val="es-CL"/>
              </w:rPr>
            </w:pPr>
            <w:r>
              <w:rPr>
                <w:rFonts w:ascii="Arial" w:eastAsiaTheme="minorEastAsia" w:hAnsi="Arial" w:cs="Arial"/>
                <w:sz w:val="20"/>
                <w:szCs w:val="20"/>
                <w:lang w:val="es-CL"/>
              </w:rPr>
              <w:t>CAPEX</w:t>
            </w:r>
          </w:p>
        </w:tc>
        <w:tc>
          <w:tcPr>
            <w:tcW w:w="3288" w:type="dxa"/>
          </w:tcPr>
          <w:p w14:paraId="7AC1913A" w14:textId="77777777" w:rsidR="00F647E4" w:rsidRDefault="000F43DE" w:rsidP="00CD6BE6">
            <w:pPr>
              <w:jc w:val="both"/>
              <w:rPr>
                <w:rFonts w:ascii="Arial" w:eastAsiaTheme="minorEastAsia" w:hAnsi="Arial" w:cs="Arial"/>
                <w:sz w:val="20"/>
                <w:szCs w:val="20"/>
                <w:lang w:val="es-CL"/>
              </w:rPr>
            </w:pPr>
            <w:r>
              <w:rPr>
                <w:rFonts w:ascii="Arial" w:eastAsiaTheme="minorEastAsia" w:hAnsi="Arial" w:cs="Arial"/>
                <w:sz w:val="20"/>
                <w:szCs w:val="20"/>
                <w:lang w:val="es-CL"/>
              </w:rPr>
              <w:t>Ofertas de contratistas, proveedores, ITO.</w:t>
            </w:r>
          </w:p>
          <w:p w14:paraId="63DEB412" w14:textId="18DDF3A3" w:rsidR="00ED5F81" w:rsidRPr="005807E6" w:rsidRDefault="000F43DE" w:rsidP="00CD6BE6">
            <w:pPr>
              <w:jc w:val="both"/>
              <w:rPr>
                <w:rFonts w:ascii="Arial" w:eastAsiaTheme="minorEastAsia" w:hAnsi="Arial" w:cs="Arial"/>
                <w:sz w:val="20"/>
                <w:szCs w:val="20"/>
                <w:lang w:val="es-CL"/>
              </w:rPr>
            </w:pPr>
            <w:r>
              <w:rPr>
                <w:rFonts w:ascii="Arial" w:eastAsiaTheme="minorEastAsia" w:hAnsi="Arial" w:cs="Arial"/>
                <w:sz w:val="20"/>
                <w:szCs w:val="20"/>
                <w:lang w:val="es-CL"/>
              </w:rPr>
              <w:t>Costos internos asociados al gerenciamiento del proyecto</w:t>
            </w:r>
            <w:r w:rsidR="00ED5F81">
              <w:rPr>
                <w:rFonts w:ascii="Arial" w:eastAsiaTheme="minorEastAsia" w:hAnsi="Arial" w:cs="Arial"/>
                <w:sz w:val="20"/>
                <w:szCs w:val="20"/>
                <w:lang w:val="es-CL"/>
              </w:rPr>
              <w:t>.</w:t>
            </w:r>
          </w:p>
        </w:tc>
        <w:tc>
          <w:tcPr>
            <w:tcW w:w="3288" w:type="dxa"/>
          </w:tcPr>
          <w:p w14:paraId="6D23106A" w14:textId="77777777" w:rsidR="00F647E4" w:rsidRDefault="009634B5" w:rsidP="00CD6BE6">
            <w:pPr>
              <w:jc w:val="both"/>
              <w:rPr>
                <w:rFonts w:ascii="Arial" w:eastAsiaTheme="minorEastAsia" w:hAnsi="Arial" w:cs="Arial"/>
                <w:sz w:val="20"/>
                <w:szCs w:val="20"/>
                <w:lang w:val="es-CL"/>
              </w:rPr>
            </w:pPr>
            <w:r>
              <w:rPr>
                <w:rFonts w:ascii="Arial" w:eastAsiaTheme="minorEastAsia" w:hAnsi="Arial" w:cs="Arial"/>
                <w:sz w:val="20"/>
                <w:szCs w:val="20"/>
                <w:lang w:val="es-CL"/>
              </w:rPr>
              <w:t>Matriz: Dirección de ingeniería</w:t>
            </w:r>
          </w:p>
          <w:p w14:paraId="71AEFB77" w14:textId="0D742F18" w:rsidR="009634B5" w:rsidRPr="005807E6" w:rsidRDefault="009634B5" w:rsidP="00CD6BE6">
            <w:pPr>
              <w:jc w:val="both"/>
              <w:rPr>
                <w:rFonts w:ascii="Arial" w:eastAsiaTheme="minorEastAsia" w:hAnsi="Arial" w:cs="Arial"/>
                <w:sz w:val="20"/>
                <w:szCs w:val="20"/>
                <w:lang w:val="es-CL"/>
              </w:rPr>
            </w:pPr>
            <w:r>
              <w:rPr>
                <w:rFonts w:ascii="Arial" w:eastAsiaTheme="minorEastAsia" w:hAnsi="Arial" w:cs="Arial"/>
                <w:sz w:val="20"/>
                <w:szCs w:val="20"/>
                <w:lang w:val="es-CL"/>
              </w:rPr>
              <w:t xml:space="preserve">Interchile: Gerencia de operaciones y mantenimiento, Gerencia de proyectos, </w:t>
            </w:r>
            <w:r w:rsidR="00D711F9">
              <w:rPr>
                <w:rFonts w:ascii="Arial" w:eastAsiaTheme="minorEastAsia" w:hAnsi="Arial" w:cs="Arial"/>
                <w:sz w:val="20"/>
                <w:szCs w:val="20"/>
                <w:lang w:val="es-CL"/>
              </w:rPr>
              <w:t>Abastecimiento</w:t>
            </w:r>
          </w:p>
        </w:tc>
      </w:tr>
      <w:tr w:rsidR="00F647E4" w14:paraId="797D095C" w14:textId="77777777" w:rsidTr="00C40EF7">
        <w:tc>
          <w:tcPr>
            <w:tcW w:w="2263" w:type="dxa"/>
          </w:tcPr>
          <w:p w14:paraId="3DBB1E01" w14:textId="4B29B219" w:rsidR="00F647E4" w:rsidRPr="005807E6" w:rsidRDefault="00AD25F4" w:rsidP="00CD6BE6">
            <w:pPr>
              <w:jc w:val="both"/>
              <w:rPr>
                <w:rFonts w:ascii="Arial" w:eastAsiaTheme="minorEastAsia" w:hAnsi="Arial" w:cs="Arial"/>
                <w:sz w:val="20"/>
                <w:szCs w:val="20"/>
                <w:lang w:val="es-CL"/>
              </w:rPr>
            </w:pPr>
            <w:r>
              <w:rPr>
                <w:rFonts w:ascii="Arial" w:eastAsiaTheme="minorEastAsia" w:hAnsi="Arial" w:cs="Arial"/>
                <w:sz w:val="20"/>
                <w:szCs w:val="20"/>
                <w:lang w:val="es-CL"/>
              </w:rPr>
              <w:t>CAPEX OPERATIVO Y OPEX</w:t>
            </w:r>
          </w:p>
        </w:tc>
        <w:tc>
          <w:tcPr>
            <w:tcW w:w="3288" w:type="dxa"/>
          </w:tcPr>
          <w:p w14:paraId="4E7AD33F" w14:textId="1A014801" w:rsidR="00F647E4" w:rsidRPr="00451E26" w:rsidRDefault="00451E26" w:rsidP="00451E26">
            <w:pPr>
              <w:jc w:val="both"/>
              <w:rPr>
                <w:rFonts w:ascii="Arial" w:eastAsiaTheme="minorEastAsia" w:hAnsi="Arial" w:cs="Arial"/>
                <w:sz w:val="20"/>
                <w:szCs w:val="20"/>
                <w:lang w:val="es-CL"/>
              </w:rPr>
            </w:pPr>
            <w:r w:rsidRPr="00CF4008">
              <w:rPr>
                <w:rFonts w:ascii="Arial" w:eastAsiaTheme="minorEastAsia" w:hAnsi="Arial" w:cs="Arial"/>
                <w:sz w:val="20"/>
                <w:szCs w:val="20"/>
                <w:lang w:val="es-CL"/>
              </w:rPr>
              <w:t xml:space="preserve">Valores suministrados por las áreas, considerando información de proyectos similares ejecutados, valores de referencia de recursos requeridos o </w:t>
            </w:r>
            <w:r w:rsidRPr="00451E26">
              <w:rPr>
                <w:rFonts w:ascii="Arial" w:eastAsiaTheme="minorEastAsia" w:hAnsi="Arial" w:cs="Arial"/>
                <w:sz w:val="20"/>
                <w:szCs w:val="20"/>
                <w:lang w:val="es-CL"/>
              </w:rPr>
              <w:t>referencias de valores de mercado</w:t>
            </w:r>
            <w:r w:rsidR="00CF4008">
              <w:rPr>
                <w:rFonts w:ascii="Arial" w:eastAsiaTheme="minorEastAsia" w:hAnsi="Arial" w:cs="Arial"/>
                <w:sz w:val="20"/>
                <w:szCs w:val="20"/>
                <w:lang w:val="es-CL"/>
              </w:rPr>
              <w:t xml:space="preserve">. Ofertas de proveedores y contratistas. </w:t>
            </w:r>
          </w:p>
        </w:tc>
        <w:tc>
          <w:tcPr>
            <w:tcW w:w="3288" w:type="dxa"/>
          </w:tcPr>
          <w:p w14:paraId="5906EB48" w14:textId="46FB179E" w:rsidR="00F647E4" w:rsidRPr="005807E6" w:rsidRDefault="00D711F9" w:rsidP="00CD6BE6">
            <w:pPr>
              <w:jc w:val="both"/>
              <w:rPr>
                <w:rFonts w:ascii="Arial" w:eastAsiaTheme="minorEastAsia" w:hAnsi="Arial" w:cs="Arial"/>
                <w:sz w:val="20"/>
                <w:szCs w:val="20"/>
                <w:lang w:val="es-CL"/>
              </w:rPr>
            </w:pPr>
            <w:r>
              <w:rPr>
                <w:rFonts w:ascii="Arial" w:eastAsiaTheme="minorEastAsia" w:hAnsi="Arial" w:cs="Arial"/>
                <w:sz w:val="20"/>
                <w:szCs w:val="20"/>
                <w:lang w:val="es-CL"/>
              </w:rPr>
              <w:t>Interchile: Gerencia de operaciones y mantenimiento, Gerencia de Finanzas, Abastecimiento.</w:t>
            </w:r>
          </w:p>
        </w:tc>
      </w:tr>
      <w:tr w:rsidR="00F647E4" w14:paraId="04A64624" w14:textId="77777777" w:rsidTr="00C40EF7">
        <w:tc>
          <w:tcPr>
            <w:tcW w:w="2263" w:type="dxa"/>
          </w:tcPr>
          <w:p w14:paraId="4CDD1751" w14:textId="3542839C" w:rsidR="00F647E4" w:rsidRPr="005807E6" w:rsidRDefault="00CA0DDD" w:rsidP="00CD6BE6">
            <w:pPr>
              <w:jc w:val="both"/>
              <w:rPr>
                <w:rFonts w:ascii="Arial" w:eastAsiaTheme="minorEastAsia" w:hAnsi="Arial" w:cs="Arial"/>
                <w:sz w:val="20"/>
                <w:szCs w:val="20"/>
                <w:lang w:val="es-CL"/>
              </w:rPr>
            </w:pPr>
            <w:r>
              <w:rPr>
                <w:rFonts w:ascii="Arial" w:eastAsiaTheme="minorEastAsia" w:hAnsi="Arial" w:cs="Arial"/>
                <w:sz w:val="20"/>
                <w:szCs w:val="20"/>
                <w:lang w:val="es-CL"/>
              </w:rPr>
              <w:t>RIESGOS</w:t>
            </w:r>
          </w:p>
        </w:tc>
        <w:tc>
          <w:tcPr>
            <w:tcW w:w="3288" w:type="dxa"/>
          </w:tcPr>
          <w:p w14:paraId="19D73870" w14:textId="5DD55DAC" w:rsidR="00CA0DDD" w:rsidRPr="00D83B2C" w:rsidRDefault="00CA0DDD" w:rsidP="00CA0DDD">
            <w:pPr>
              <w:jc w:val="both"/>
              <w:rPr>
                <w:rFonts w:ascii="Arial" w:eastAsiaTheme="minorEastAsia" w:hAnsi="Arial" w:cs="Arial"/>
                <w:sz w:val="20"/>
                <w:szCs w:val="20"/>
                <w:lang w:val="es-CL"/>
              </w:rPr>
            </w:pPr>
            <w:r w:rsidRPr="00D83B2C">
              <w:rPr>
                <w:rFonts w:ascii="Arial" w:eastAsiaTheme="minorEastAsia" w:hAnsi="Arial" w:cs="Arial"/>
                <w:sz w:val="20"/>
                <w:szCs w:val="20"/>
                <w:lang w:val="es-CL"/>
              </w:rPr>
              <w:t xml:space="preserve">Análisis de Identificación y Cuantificación de los riesgos bajo </w:t>
            </w:r>
          </w:p>
          <w:p w14:paraId="58D452DE" w14:textId="32403409" w:rsidR="00F647E4" w:rsidRPr="00CA0DDD" w:rsidRDefault="00CA0DDD" w:rsidP="00CA0DDD">
            <w:pPr>
              <w:jc w:val="both"/>
              <w:rPr>
                <w:rFonts w:ascii="Arial" w:eastAsiaTheme="minorEastAsia" w:hAnsi="Arial" w:cs="Arial"/>
                <w:sz w:val="20"/>
                <w:szCs w:val="20"/>
                <w:lang w:val="es-CL"/>
              </w:rPr>
            </w:pPr>
            <w:r w:rsidRPr="00CA0DDD">
              <w:rPr>
                <w:rFonts w:ascii="Arial" w:eastAsiaTheme="minorEastAsia" w:hAnsi="Arial" w:cs="Arial"/>
                <w:sz w:val="20"/>
                <w:szCs w:val="20"/>
                <w:lang w:val="es-CL"/>
              </w:rPr>
              <w:t xml:space="preserve">componentes financieros, técnicos, legales, regulatorios, </w:t>
            </w:r>
            <w:proofErr w:type="spellStart"/>
            <w:r w:rsidRPr="00CA0DDD">
              <w:rPr>
                <w:rFonts w:ascii="Arial" w:eastAsiaTheme="minorEastAsia" w:hAnsi="Arial" w:cs="Arial"/>
                <w:sz w:val="20"/>
                <w:szCs w:val="20"/>
                <w:lang w:val="es-CL"/>
              </w:rPr>
              <w:t>etc</w:t>
            </w:r>
            <w:proofErr w:type="spellEnd"/>
          </w:p>
        </w:tc>
        <w:tc>
          <w:tcPr>
            <w:tcW w:w="3288" w:type="dxa"/>
          </w:tcPr>
          <w:p w14:paraId="4B3A4E5D" w14:textId="77777777" w:rsidR="00F647E4" w:rsidRDefault="00753BCD" w:rsidP="00753BCD">
            <w:pPr>
              <w:jc w:val="both"/>
              <w:rPr>
                <w:rFonts w:ascii="Arial" w:eastAsiaTheme="minorEastAsia" w:hAnsi="Arial" w:cs="Arial"/>
                <w:sz w:val="20"/>
                <w:szCs w:val="20"/>
                <w:lang w:val="es-CL"/>
              </w:rPr>
            </w:pPr>
            <w:r w:rsidRPr="00753BCD">
              <w:rPr>
                <w:rFonts w:ascii="Arial" w:eastAsiaTheme="minorEastAsia" w:hAnsi="Arial" w:cs="Arial"/>
                <w:sz w:val="20"/>
                <w:szCs w:val="20"/>
                <w:lang w:val="es-CL"/>
              </w:rPr>
              <w:t>Matriz: VP Desarrollo de Negocios</w:t>
            </w:r>
            <w:r w:rsidR="00C61038">
              <w:rPr>
                <w:rFonts w:ascii="Arial" w:eastAsiaTheme="minorEastAsia" w:hAnsi="Arial" w:cs="Arial"/>
                <w:sz w:val="20"/>
                <w:szCs w:val="20"/>
                <w:lang w:val="es-CL"/>
              </w:rPr>
              <w:t>.</w:t>
            </w:r>
          </w:p>
          <w:p w14:paraId="647C03AF" w14:textId="59DB9388" w:rsidR="00C61038" w:rsidRPr="00753BCD" w:rsidRDefault="00C61038" w:rsidP="00753BCD">
            <w:pPr>
              <w:jc w:val="both"/>
              <w:rPr>
                <w:rFonts w:ascii="Arial" w:eastAsiaTheme="minorEastAsia" w:hAnsi="Arial" w:cs="Arial"/>
                <w:sz w:val="20"/>
                <w:szCs w:val="20"/>
                <w:lang w:val="es-CL"/>
              </w:rPr>
            </w:pPr>
            <w:r>
              <w:rPr>
                <w:rFonts w:ascii="Arial" w:eastAsiaTheme="minorEastAsia" w:hAnsi="Arial" w:cs="Arial"/>
                <w:sz w:val="20"/>
                <w:szCs w:val="20"/>
                <w:lang w:val="es-CL"/>
              </w:rPr>
              <w:t>Interchile: Dirección de Estrategia</w:t>
            </w:r>
            <w:r w:rsidR="00181284">
              <w:rPr>
                <w:rFonts w:ascii="Arial" w:eastAsiaTheme="minorEastAsia" w:hAnsi="Arial" w:cs="Arial"/>
                <w:sz w:val="20"/>
                <w:szCs w:val="20"/>
                <w:lang w:val="es-CL"/>
              </w:rPr>
              <w:t xml:space="preserve"> y todas las gerencias </w:t>
            </w:r>
            <w:r w:rsidR="00CA263E">
              <w:rPr>
                <w:rFonts w:ascii="Arial" w:eastAsiaTheme="minorEastAsia" w:hAnsi="Arial" w:cs="Arial"/>
                <w:sz w:val="20"/>
                <w:szCs w:val="20"/>
                <w:lang w:val="es-CL"/>
              </w:rPr>
              <w:t>pertinentes</w:t>
            </w:r>
            <w:r w:rsidR="00181284">
              <w:rPr>
                <w:rFonts w:ascii="Arial" w:eastAsiaTheme="minorEastAsia" w:hAnsi="Arial" w:cs="Arial"/>
                <w:sz w:val="20"/>
                <w:szCs w:val="20"/>
                <w:lang w:val="es-CL"/>
              </w:rPr>
              <w:t xml:space="preserve"> en </w:t>
            </w:r>
            <w:r w:rsidR="00CA263E">
              <w:rPr>
                <w:rFonts w:ascii="Arial" w:eastAsiaTheme="minorEastAsia" w:hAnsi="Arial" w:cs="Arial"/>
                <w:sz w:val="20"/>
                <w:szCs w:val="20"/>
                <w:lang w:val="es-CL"/>
              </w:rPr>
              <w:t>la evaluación de la alternativa</w:t>
            </w:r>
            <w:r w:rsidR="00413B60">
              <w:rPr>
                <w:rFonts w:ascii="Arial" w:eastAsiaTheme="minorEastAsia" w:hAnsi="Arial" w:cs="Arial"/>
                <w:sz w:val="20"/>
                <w:szCs w:val="20"/>
                <w:lang w:val="es-CL"/>
              </w:rPr>
              <w:t xml:space="preserve"> </w:t>
            </w:r>
          </w:p>
        </w:tc>
      </w:tr>
    </w:tbl>
    <w:p w14:paraId="6D3E9061" w14:textId="70172AA4" w:rsidR="00A255FF" w:rsidRDefault="00A255FF" w:rsidP="00CD6BE6">
      <w:pPr>
        <w:spacing w:after="0"/>
        <w:jc w:val="both"/>
        <w:rPr>
          <w:rFonts w:ascii="Arial" w:eastAsiaTheme="minorEastAsia" w:hAnsi="Arial" w:cs="Arial"/>
          <w:sz w:val="20"/>
          <w:szCs w:val="20"/>
        </w:rPr>
      </w:pPr>
    </w:p>
    <w:p w14:paraId="43CBC49F" w14:textId="77777777" w:rsidR="00A255FF" w:rsidRDefault="00A255FF">
      <w:pPr>
        <w:rPr>
          <w:rFonts w:ascii="Arial" w:eastAsiaTheme="minorEastAsia" w:hAnsi="Arial" w:cs="Arial"/>
          <w:sz w:val="20"/>
          <w:szCs w:val="20"/>
        </w:rPr>
      </w:pPr>
      <w:r>
        <w:rPr>
          <w:rFonts w:ascii="Arial" w:eastAsiaTheme="minorEastAsia" w:hAnsi="Arial" w:cs="Arial"/>
          <w:sz w:val="20"/>
          <w:szCs w:val="20"/>
        </w:rPr>
        <w:br w:type="page"/>
      </w:r>
    </w:p>
    <w:p w14:paraId="013F1BA7" w14:textId="1AAA5F19" w:rsidR="002A5158" w:rsidRDefault="00457C0B" w:rsidP="0008626D">
      <w:pPr>
        <w:pStyle w:val="Prrafodelista"/>
        <w:numPr>
          <w:ilvl w:val="1"/>
          <w:numId w:val="6"/>
        </w:numPr>
        <w:spacing w:after="0"/>
        <w:ind w:left="426"/>
        <w:jc w:val="both"/>
        <w:outlineLvl w:val="1"/>
        <w:rPr>
          <w:rFonts w:ascii="Arial" w:eastAsiaTheme="minorEastAsia" w:hAnsi="Arial" w:cs="Arial"/>
          <w:b/>
          <w:bCs/>
          <w:sz w:val="20"/>
          <w:szCs w:val="20"/>
        </w:rPr>
      </w:pPr>
      <w:bookmarkStart w:id="6" w:name="_Toc132277745"/>
      <w:r w:rsidRPr="00105D28">
        <w:rPr>
          <w:rFonts w:ascii="Arial" w:eastAsiaTheme="minorEastAsia" w:hAnsi="Arial" w:cs="Arial"/>
          <w:b/>
          <w:bCs/>
          <w:sz w:val="20"/>
          <w:szCs w:val="20"/>
        </w:rPr>
        <w:lastRenderedPageBreak/>
        <w:t>ACTIVOS EXISTENTES: EVALUACIÓN DE ALTERNATIVAS ENTRE EXTENSIÓN DEL CICLO DE VIDA O RENOVACIÓN DEL ACTIVO</w:t>
      </w:r>
      <w:bookmarkEnd w:id="6"/>
      <w:r w:rsidRPr="00105D28">
        <w:rPr>
          <w:rFonts w:ascii="Arial" w:eastAsiaTheme="minorEastAsia" w:hAnsi="Arial" w:cs="Arial"/>
          <w:b/>
          <w:bCs/>
          <w:sz w:val="20"/>
          <w:szCs w:val="20"/>
        </w:rPr>
        <w:cr/>
      </w:r>
    </w:p>
    <w:p w14:paraId="2A28EF62" w14:textId="5E1E25B0" w:rsidR="007A1C68" w:rsidRDefault="00187B57" w:rsidP="003F067B">
      <w:pPr>
        <w:spacing w:after="0"/>
        <w:jc w:val="both"/>
        <w:rPr>
          <w:rFonts w:ascii="Arial" w:eastAsiaTheme="minorEastAsia" w:hAnsi="Arial" w:cs="Arial"/>
          <w:sz w:val="20"/>
          <w:szCs w:val="20"/>
        </w:rPr>
      </w:pPr>
      <w:r w:rsidRPr="00187B57">
        <w:rPr>
          <w:rFonts w:ascii="Arial" w:eastAsiaTheme="minorEastAsia" w:hAnsi="Arial" w:cs="Arial"/>
          <w:sz w:val="20"/>
          <w:szCs w:val="20"/>
        </w:rPr>
        <w:t>Para realizar el análisis financiero de casos que impliquen el reemplazo de activos existentes,</w:t>
      </w:r>
      <w:r>
        <w:rPr>
          <w:rFonts w:ascii="Arial" w:eastAsiaTheme="minorEastAsia" w:hAnsi="Arial" w:cs="Arial"/>
          <w:sz w:val="20"/>
          <w:szCs w:val="20"/>
        </w:rPr>
        <w:t xml:space="preserve"> </w:t>
      </w:r>
      <w:r w:rsidRPr="00187B57">
        <w:rPr>
          <w:rFonts w:ascii="Arial" w:eastAsiaTheme="minorEastAsia" w:hAnsi="Arial" w:cs="Arial"/>
          <w:sz w:val="20"/>
          <w:szCs w:val="20"/>
        </w:rPr>
        <w:t>optimizaciones, mantenimientos mayores, repotenciaciones, así como la comparación de varias de</w:t>
      </w:r>
      <w:r w:rsidR="002C015A">
        <w:rPr>
          <w:rFonts w:ascii="Arial" w:eastAsiaTheme="minorEastAsia" w:hAnsi="Arial" w:cs="Arial"/>
          <w:sz w:val="20"/>
          <w:szCs w:val="20"/>
        </w:rPr>
        <w:t xml:space="preserve"> </w:t>
      </w:r>
      <w:r w:rsidRPr="00187B57">
        <w:rPr>
          <w:rFonts w:ascii="Arial" w:eastAsiaTheme="minorEastAsia" w:hAnsi="Arial" w:cs="Arial"/>
          <w:sz w:val="20"/>
          <w:szCs w:val="20"/>
        </w:rPr>
        <w:t xml:space="preserve">estas opciones, </w:t>
      </w:r>
      <w:r w:rsidR="00B91060">
        <w:rPr>
          <w:rFonts w:ascii="Arial" w:eastAsiaTheme="minorEastAsia" w:hAnsi="Arial" w:cs="Arial"/>
          <w:sz w:val="20"/>
          <w:szCs w:val="20"/>
        </w:rPr>
        <w:t>Interchile</w:t>
      </w:r>
      <w:r w:rsidRPr="00187B57">
        <w:rPr>
          <w:rFonts w:ascii="Arial" w:eastAsiaTheme="minorEastAsia" w:hAnsi="Arial" w:cs="Arial"/>
          <w:sz w:val="20"/>
          <w:szCs w:val="20"/>
        </w:rPr>
        <w:t xml:space="preserve"> utilizará la metodología </w:t>
      </w:r>
      <w:r w:rsidR="00773230">
        <w:rPr>
          <w:rFonts w:ascii="Arial" w:eastAsiaTheme="minorEastAsia" w:hAnsi="Arial" w:cs="Arial"/>
          <w:sz w:val="20"/>
          <w:szCs w:val="20"/>
        </w:rPr>
        <w:t>SALVO</w:t>
      </w:r>
      <w:r w:rsidRPr="00187B57">
        <w:rPr>
          <w:rFonts w:ascii="Arial" w:eastAsiaTheme="minorEastAsia" w:hAnsi="Arial" w:cs="Arial"/>
          <w:sz w:val="20"/>
          <w:szCs w:val="20"/>
        </w:rPr>
        <w:t xml:space="preserve"> para identificar potenciales candidatos a ser renovados, los cuales serán sujetos de evaluación mediante </w:t>
      </w:r>
      <w:r w:rsidR="007C57C8">
        <w:rPr>
          <w:rFonts w:ascii="Arial" w:eastAsiaTheme="minorEastAsia" w:hAnsi="Arial" w:cs="Arial"/>
          <w:sz w:val="20"/>
          <w:szCs w:val="20"/>
        </w:rPr>
        <w:t>este</w:t>
      </w:r>
      <w:r w:rsidRPr="00187B57">
        <w:rPr>
          <w:rFonts w:ascii="Arial" w:eastAsiaTheme="minorEastAsia" w:hAnsi="Arial" w:cs="Arial"/>
          <w:sz w:val="20"/>
          <w:szCs w:val="20"/>
        </w:rPr>
        <w:t xml:space="preserve"> proceso, con el propósito de evaluar el momento más apropiado para realizar la renovación. </w:t>
      </w:r>
      <w:r w:rsidR="007C57C8">
        <w:rPr>
          <w:rFonts w:ascii="Arial" w:eastAsiaTheme="minorEastAsia" w:hAnsi="Arial" w:cs="Arial"/>
          <w:sz w:val="20"/>
          <w:szCs w:val="20"/>
        </w:rPr>
        <w:t>Esta metodología SALVO</w:t>
      </w:r>
      <w:r w:rsidRPr="00187B57">
        <w:rPr>
          <w:rFonts w:ascii="Arial" w:eastAsiaTheme="minorEastAsia" w:hAnsi="Arial" w:cs="Arial"/>
          <w:sz w:val="20"/>
          <w:szCs w:val="20"/>
        </w:rPr>
        <w:t xml:space="preserve"> permite considerar diversos elementos de costo, inversión, al igual que el modelamiento de riesgos mediante la valoración de modos de falla que determinan el fin de vida de un activo, al igual que su nivel de confiabilidad</w:t>
      </w:r>
      <w:r w:rsidR="00170C6E">
        <w:rPr>
          <w:rFonts w:ascii="Arial" w:eastAsiaTheme="minorEastAsia" w:hAnsi="Arial" w:cs="Arial"/>
          <w:sz w:val="20"/>
          <w:szCs w:val="20"/>
        </w:rPr>
        <w:t>.</w:t>
      </w:r>
    </w:p>
    <w:p w14:paraId="4598CA19" w14:textId="77777777" w:rsidR="006B0F9C" w:rsidRDefault="006B0F9C" w:rsidP="003F067B">
      <w:pPr>
        <w:spacing w:after="0"/>
        <w:jc w:val="both"/>
        <w:rPr>
          <w:rFonts w:ascii="Arial" w:eastAsiaTheme="minorEastAsia" w:hAnsi="Arial" w:cs="Arial"/>
          <w:sz w:val="20"/>
          <w:szCs w:val="20"/>
        </w:rPr>
      </w:pPr>
    </w:p>
    <w:p w14:paraId="59848938" w14:textId="00579C79" w:rsidR="00170C6E" w:rsidRDefault="00170C6E" w:rsidP="00170C6E">
      <w:pPr>
        <w:spacing w:after="0"/>
        <w:jc w:val="both"/>
        <w:rPr>
          <w:rFonts w:ascii="Arial" w:eastAsiaTheme="minorEastAsia" w:hAnsi="Arial" w:cs="Arial"/>
          <w:sz w:val="20"/>
          <w:szCs w:val="20"/>
        </w:rPr>
      </w:pPr>
      <w:r w:rsidRPr="00170C6E">
        <w:rPr>
          <w:rFonts w:ascii="Arial" w:eastAsiaTheme="minorEastAsia" w:hAnsi="Arial" w:cs="Arial"/>
          <w:sz w:val="20"/>
          <w:szCs w:val="20"/>
        </w:rPr>
        <w:t>Acorde con lo anterior, se resumen a continuación las fuentes de información para la construcción</w:t>
      </w:r>
      <w:r w:rsidR="008522CE">
        <w:rPr>
          <w:rFonts w:ascii="Arial" w:eastAsiaTheme="minorEastAsia" w:hAnsi="Arial" w:cs="Arial"/>
          <w:sz w:val="20"/>
          <w:szCs w:val="20"/>
        </w:rPr>
        <w:t xml:space="preserve"> </w:t>
      </w:r>
      <w:r w:rsidRPr="00170C6E">
        <w:rPr>
          <w:rFonts w:ascii="Arial" w:eastAsiaTheme="minorEastAsia" w:hAnsi="Arial" w:cs="Arial"/>
          <w:sz w:val="20"/>
          <w:szCs w:val="20"/>
        </w:rPr>
        <w:t>del CAPEX y OPEX de este grupo de activos:</w:t>
      </w:r>
    </w:p>
    <w:p w14:paraId="3C1A6D34" w14:textId="5CDC33EA" w:rsidR="008522CE" w:rsidRDefault="008522CE" w:rsidP="00170C6E">
      <w:pPr>
        <w:spacing w:after="0"/>
        <w:jc w:val="both"/>
        <w:rPr>
          <w:rFonts w:ascii="Arial" w:eastAsiaTheme="minorEastAsia" w:hAnsi="Arial" w:cs="Arial"/>
          <w:sz w:val="20"/>
          <w:szCs w:val="20"/>
        </w:rPr>
      </w:pPr>
    </w:p>
    <w:tbl>
      <w:tblPr>
        <w:tblStyle w:val="Tablaconcuadrcula"/>
        <w:tblW w:w="8839" w:type="dxa"/>
        <w:tblLook w:val="04A0" w:firstRow="1" w:lastRow="0" w:firstColumn="1" w:lastColumn="0" w:noHBand="0" w:noVBand="1"/>
      </w:tblPr>
      <w:tblGrid>
        <w:gridCol w:w="2263"/>
        <w:gridCol w:w="3288"/>
        <w:gridCol w:w="3288"/>
      </w:tblGrid>
      <w:tr w:rsidR="008522CE" w14:paraId="0B82C728" w14:textId="77777777" w:rsidTr="00F32FAC">
        <w:tc>
          <w:tcPr>
            <w:tcW w:w="2263" w:type="dxa"/>
            <w:shd w:val="clear" w:color="auto" w:fill="D9D9D9" w:themeFill="background1" w:themeFillShade="D9"/>
          </w:tcPr>
          <w:p w14:paraId="364F3E86" w14:textId="77777777" w:rsidR="008522CE" w:rsidRPr="005807E6" w:rsidRDefault="008522CE" w:rsidP="00F32FAC">
            <w:pPr>
              <w:jc w:val="center"/>
              <w:rPr>
                <w:rFonts w:ascii="Arial" w:eastAsiaTheme="minorEastAsia" w:hAnsi="Arial" w:cs="Arial"/>
                <w:b/>
                <w:bCs/>
                <w:sz w:val="20"/>
                <w:szCs w:val="20"/>
                <w:lang w:val="es-CL"/>
              </w:rPr>
            </w:pPr>
            <w:r w:rsidRPr="005807E6">
              <w:rPr>
                <w:rFonts w:ascii="Arial" w:eastAsiaTheme="minorEastAsia" w:hAnsi="Arial" w:cs="Arial"/>
                <w:b/>
                <w:bCs/>
                <w:sz w:val="20"/>
                <w:szCs w:val="20"/>
                <w:lang w:val="es-CL"/>
              </w:rPr>
              <w:t>INSUMO</w:t>
            </w:r>
          </w:p>
        </w:tc>
        <w:tc>
          <w:tcPr>
            <w:tcW w:w="3288" w:type="dxa"/>
            <w:shd w:val="clear" w:color="auto" w:fill="D9D9D9" w:themeFill="background1" w:themeFillShade="D9"/>
          </w:tcPr>
          <w:p w14:paraId="191E64DD" w14:textId="77777777" w:rsidR="008522CE" w:rsidRPr="005807E6" w:rsidRDefault="008522CE" w:rsidP="00F32FAC">
            <w:pPr>
              <w:jc w:val="center"/>
              <w:rPr>
                <w:rFonts w:ascii="Arial" w:eastAsiaTheme="minorEastAsia" w:hAnsi="Arial" w:cs="Arial"/>
                <w:b/>
                <w:bCs/>
                <w:sz w:val="20"/>
                <w:szCs w:val="20"/>
                <w:lang w:val="es-CL"/>
              </w:rPr>
            </w:pPr>
            <w:r w:rsidRPr="005807E6">
              <w:rPr>
                <w:rFonts w:ascii="Arial" w:eastAsiaTheme="minorEastAsia" w:hAnsi="Arial" w:cs="Arial"/>
                <w:b/>
                <w:bCs/>
                <w:sz w:val="20"/>
                <w:szCs w:val="20"/>
                <w:lang w:val="es-CL"/>
              </w:rPr>
              <w:t>BASE DE INFORMACIÓN</w:t>
            </w:r>
          </w:p>
        </w:tc>
        <w:tc>
          <w:tcPr>
            <w:tcW w:w="3288" w:type="dxa"/>
            <w:shd w:val="clear" w:color="auto" w:fill="D9D9D9" w:themeFill="background1" w:themeFillShade="D9"/>
          </w:tcPr>
          <w:p w14:paraId="3E101F05" w14:textId="77777777" w:rsidR="008522CE" w:rsidRPr="005807E6" w:rsidRDefault="008522CE" w:rsidP="00F32FAC">
            <w:pPr>
              <w:jc w:val="center"/>
              <w:rPr>
                <w:rFonts w:ascii="Arial" w:eastAsiaTheme="minorEastAsia" w:hAnsi="Arial" w:cs="Arial"/>
                <w:b/>
                <w:bCs/>
                <w:sz w:val="20"/>
                <w:szCs w:val="20"/>
                <w:lang w:val="es-CL"/>
              </w:rPr>
            </w:pPr>
            <w:r w:rsidRPr="005807E6">
              <w:rPr>
                <w:rFonts w:ascii="Arial" w:eastAsiaTheme="minorEastAsia" w:hAnsi="Arial" w:cs="Arial"/>
                <w:b/>
                <w:bCs/>
                <w:sz w:val="20"/>
                <w:szCs w:val="20"/>
                <w:lang w:val="es-CL"/>
              </w:rPr>
              <w:t>RESPONSABLES</w:t>
            </w:r>
          </w:p>
        </w:tc>
      </w:tr>
      <w:tr w:rsidR="008522CE" w14:paraId="25E7A853" w14:textId="77777777" w:rsidTr="00F32FAC">
        <w:tc>
          <w:tcPr>
            <w:tcW w:w="2263" w:type="dxa"/>
          </w:tcPr>
          <w:p w14:paraId="331EEFD2" w14:textId="77777777" w:rsidR="008522CE" w:rsidRPr="005807E6" w:rsidRDefault="008522CE" w:rsidP="00F32FAC">
            <w:pPr>
              <w:jc w:val="both"/>
              <w:rPr>
                <w:rFonts w:ascii="Arial" w:eastAsiaTheme="minorEastAsia" w:hAnsi="Arial" w:cs="Arial"/>
                <w:sz w:val="20"/>
                <w:szCs w:val="20"/>
                <w:lang w:val="es-CL"/>
              </w:rPr>
            </w:pPr>
            <w:r>
              <w:rPr>
                <w:rFonts w:ascii="Arial" w:eastAsiaTheme="minorEastAsia" w:hAnsi="Arial" w:cs="Arial"/>
                <w:sz w:val="20"/>
                <w:szCs w:val="20"/>
                <w:lang w:val="es-CL"/>
              </w:rPr>
              <w:t>CAPEX</w:t>
            </w:r>
          </w:p>
        </w:tc>
        <w:tc>
          <w:tcPr>
            <w:tcW w:w="3288" w:type="dxa"/>
          </w:tcPr>
          <w:p w14:paraId="44E31E29" w14:textId="77777777" w:rsidR="008522CE" w:rsidRDefault="008522CE" w:rsidP="00F32FAC">
            <w:pPr>
              <w:jc w:val="both"/>
              <w:rPr>
                <w:rFonts w:ascii="Arial" w:eastAsiaTheme="minorEastAsia" w:hAnsi="Arial" w:cs="Arial"/>
                <w:sz w:val="20"/>
                <w:szCs w:val="20"/>
                <w:lang w:val="es-CL"/>
              </w:rPr>
            </w:pPr>
            <w:r>
              <w:rPr>
                <w:rFonts w:ascii="Arial" w:eastAsiaTheme="minorEastAsia" w:hAnsi="Arial" w:cs="Arial"/>
                <w:sz w:val="20"/>
                <w:szCs w:val="20"/>
                <w:lang w:val="es-CL"/>
              </w:rPr>
              <w:t>Ofertas de contratistas, proveedores, ITO.</w:t>
            </w:r>
          </w:p>
          <w:p w14:paraId="5808E0B0" w14:textId="77777777" w:rsidR="008522CE" w:rsidRPr="005807E6" w:rsidRDefault="008522CE" w:rsidP="00F32FAC">
            <w:pPr>
              <w:jc w:val="both"/>
              <w:rPr>
                <w:rFonts w:ascii="Arial" w:eastAsiaTheme="minorEastAsia" w:hAnsi="Arial" w:cs="Arial"/>
                <w:sz w:val="20"/>
                <w:szCs w:val="20"/>
                <w:lang w:val="es-CL"/>
              </w:rPr>
            </w:pPr>
            <w:r>
              <w:rPr>
                <w:rFonts w:ascii="Arial" w:eastAsiaTheme="minorEastAsia" w:hAnsi="Arial" w:cs="Arial"/>
                <w:sz w:val="20"/>
                <w:szCs w:val="20"/>
                <w:lang w:val="es-CL"/>
              </w:rPr>
              <w:t>Costos internos asociados al gerenciamiento del proyecto.</w:t>
            </w:r>
          </w:p>
        </w:tc>
        <w:tc>
          <w:tcPr>
            <w:tcW w:w="3288" w:type="dxa"/>
          </w:tcPr>
          <w:p w14:paraId="67A098F3" w14:textId="77777777" w:rsidR="008522CE" w:rsidRDefault="008522CE" w:rsidP="00F32FAC">
            <w:pPr>
              <w:jc w:val="both"/>
              <w:rPr>
                <w:rFonts w:ascii="Arial" w:eastAsiaTheme="minorEastAsia" w:hAnsi="Arial" w:cs="Arial"/>
                <w:sz w:val="20"/>
                <w:szCs w:val="20"/>
                <w:lang w:val="es-CL"/>
              </w:rPr>
            </w:pPr>
            <w:r>
              <w:rPr>
                <w:rFonts w:ascii="Arial" w:eastAsiaTheme="minorEastAsia" w:hAnsi="Arial" w:cs="Arial"/>
                <w:sz w:val="20"/>
                <w:szCs w:val="20"/>
                <w:lang w:val="es-CL"/>
              </w:rPr>
              <w:t>Matriz: Dirección de ingeniería</w:t>
            </w:r>
          </w:p>
          <w:p w14:paraId="17189A64" w14:textId="2C34BE63" w:rsidR="008522CE" w:rsidRPr="005807E6" w:rsidRDefault="008522CE" w:rsidP="00F32FAC">
            <w:pPr>
              <w:jc w:val="both"/>
              <w:rPr>
                <w:rFonts w:ascii="Arial" w:eastAsiaTheme="minorEastAsia" w:hAnsi="Arial" w:cs="Arial"/>
                <w:sz w:val="20"/>
                <w:szCs w:val="20"/>
                <w:lang w:val="es-CL"/>
              </w:rPr>
            </w:pPr>
            <w:r>
              <w:rPr>
                <w:rFonts w:ascii="Arial" w:eastAsiaTheme="minorEastAsia" w:hAnsi="Arial" w:cs="Arial"/>
                <w:sz w:val="20"/>
                <w:szCs w:val="20"/>
                <w:lang w:val="es-CL"/>
              </w:rPr>
              <w:t>Interchile: Gerencia de operaciones y mantenimiento, Abastecimiento</w:t>
            </w:r>
          </w:p>
        </w:tc>
      </w:tr>
      <w:tr w:rsidR="008522CE" w14:paraId="75F27AFA" w14:textId="77777777" w:rsidTr="00F32FAC">
        <w:tc>
          <w:tcPr>
            <w:tcW w:w="2263" w:type="dxa"/>
          </w:tcPr>
          <w:p w14:paraId="43314242" w14:textId="246A1D01" w:rsidR="008522CE" w:rsidRPr="005807E6" w:rsidRDefault="008522CE" w:rsidP="00F32FAC">
            <w:pPr>
              <w:jc w:val="both"/>
              <w:rPr>
                <w:rFonts w:ascii="Arial" w:eastAsiaTheme="minorEastAsia" w:hAnsi="Arial" w:cs="Arial"/>
                <w:sz w:val="20"/>
                <w:szCs w:val="20"/>
                <w:lang w:val="es-CL"/>
              </w:rPr>
            </w:pPr>
            <w:r>
              <w:rPr>
                <w:rFonts w:ascii="Arial" w:eastAsiaTheme="minorEastAsia" w:hAnsi="Arial" w:cs="Arial"/>
                <w:sz w:val="20"/>
                <w:szCs w:val="20"/>
                <w:lang w:val="es-CL"/>
              </w:rPr>
              <w:t>OPEX</w:t>
            </w:r>
          </w:p>
        </w:tc>
        <w:tc>
          <w:tcPr>
            <w:tcW w:w="3288" w:type="dxa"/>
          </w:tcPr>
          <w:p w14:paraId="53C7AA1A" w14:textId="77777777" w:rsidR="008522CE" w:rsidRPr="00451E26" w:rsidRDefault="008522CE" w:rsidP="00F32FAC">
            <w:pPr>
              <w:jc w:val="both"/>
              <w:rPr>
                <w:rFonts w:ascii="Arial" w:eastAsiaTheme="minorEastAsia" w:hAnsi="Arial" w:cs="Arial"/>
                <w:sz w:val="20"/>
                <w:szCs w:val="20"/>
                <w:lang w:val="es-CL"/>
              </w:rPr>
            </w:pPr>
            <w:r w:rsidRPr="00CF4008">
              <w:rPr>
                <w:rFonts w:ascii="Arial" w:eastAsiaTheme="minorEastAsia" w:hAnsi="Arial" w:cs="Arial"/>
                <w:sz w:val="20"/>
                <w:szCs w:val="20"/>
                <w:lang w:val="es-CL"/>
              </w:rPr>
              <w:t xml:space="preserve">Valores suministrados por las áreas, considerando información de proyectos similares ejecutados, valores de referencia de recursos requeridos o </w:t>
            </w:r>
            <w:r w:rsidRPr="00451E26">
              <w:rPr>
                <w:rFonts w:ascii="Arial" w:eastAsiaTheme="minorEastAsia" w:hAnsi="Arial" w:cs="Arial"/>
                <w:sz w:val="20"/>
                <w:szCs w:val="20"/>
                <w:lang w:val="es-CL"/>
              </w:rPr>
              <w:t>referencias de valores de mercado</w:t>
            </w:r>
            <w:r>
              <w:rPr>
                <w:rFonts w:ascii="Arial" w:eastAsiaTheme="minorEastAsia" w:hAnsi="Arial" w:cs="Arial"/>
                <w:sz w:val="20"/>
                <w:szCs w:val="20"/>
                <w:lang w:val="es-CL"/>
              </w:rPr>
              <w:t xml:space="preserve">. Ofertas de proveedores y contratistas. </w:t>
            </w:r>
          </w:p>
        </w:tc>
        <w:tc>
          <w:tcPr>
            <w:tcW w:w="3288" w:type="dxa"/>
          </w:tcPr>
          <w:p w14:paraId="2DD59644" w14:textId="77777777" w:rsidR="008522CE" w:rsidRPr="005807E6" w:rsidRDefault="008522CE" w:rsidP="00F32FAC">
            <w:pPr>
              <w:jc w:val="both"/>
              <w:rPr>
                <w:rFonts w:ascii="Arial" w:eastAsiaTheme="minorEastAsia" w:hAnsi="Arial" w:cs="Arial"/>
                <w:sz w:val="20"/>
                <w:szCs w:val="20"/>
                <w:lang w:val="es-CL"/>
              </w:rPr>
            </w:pPr>
            <w:r>
              <w:rPr>
                <w:rFonts w:ascii="Arial" w:eastAsiaTheme="minorEastAsia" w:hAnsi="Arial" w:cs="Arial"/>
                <w:sz w:val="20"/>
                <w:szCs w:val="20"/>
                <w:lang w:val="es-CL"/>
              </w:rPr>
              <w:t>Interchile: Gerencia de operaciones y mantenimiento, Gerencia de Finanzas, Abastecimiento.</w:t>
            </w:r>
          </w:p>
        </w:tc>
      </w:tr>
      <w:tr w:rsidR="008522CE" w14:paraId="77EB996F" w14:textId="77777777" w:rsidTr="00F32FAC">
        <w:tc>
          <w:tcPr>
            <w:tcW w:w="2263" w:type="dxa"/>
          </w:tcPr>
          <w:p w14:paraId="7264C593" w14:textId="77777777" w:rsidR="008522CE" w:rsidRPr="005807E6" w:rsidRDefault="008522CE" w:rsidP="00F32FAC">
            <w:pPr>
              <w:jc w:val="both"/>
              <w:rPr>
                <w:rFonts w:ascii="Arial" w:eastAsiaTheme="minorEastAsia" w:hAnsi="Arial" w:cs="Arial"/>
                <w:sz w:val="20"/>
                <w:szCs w:val="20"/>
                <w:lang w:val="es-CL"/>
              </w:rPr>
            </w:pPr>
            <w:r>
              <w:rPr>
                <w:rFonts w:ascii="Arial" w:eastAsiaTheme="minorEastAsia" w:hAnsi="Arial" w:cs="Arial"/>
                <w:sz w:val="20"/>
                <w:szCs w:val="20"/>
                <w:lang w:val="es-CL"/>
              </w:rPr>
              <w:t>RIESGOS</w:t>
            </w:r>
          </w:p>
        </w:tc>
        <w:tc>
          <w:tcPr>
            <w:tcW w:w="3288" w:type="dxa"/>
          </w:tcPr>
          <w:p w14:paraId="5835A98F" w14:textId="2D2DC49D" w:rsidR="008522CE" w:rsidRPr="00EC5BF6" w:rsidRDefault="00EC5BF6" w:rsidP="00EC5BF6">
            <w:pPr>
              <w:jc w:val="both"/>
              <w:rPr>
                <w:rFonts w:ascii="Arial" w:eastAsiaTheme="minorEastAsia" w:hAnsi="Arial" w:cs="Arial"/>
                <w:sz w:val="20"/>
                <w:szCs w:val="20"/>
                <w:lang w:val="es-CL"/>
              </w:rPr>
            </w:pPr>
            <w:r w:rsidRPr="00EC5BF6">
              <w:rPr>
                <w:rFonts w:ascii="Arial" w:eastAsiaTheme="minorEastAsia" w:hAnsi="Arial" w:cs="Arial"/>
                <w:sz w:val="20"/>
                <w:szCs w:val="20"/>
                <w:lang w:val="es-CL"/>
              </w:rPr>
              <w:t>Cuantificación de eventos ocurridos en años anteriores o potenciales</w:t>
            </w:r>
            <w:r>
              <w:rPr>
                <w:rFonts w:ascii="Arial" w:eastAsiaTheme="minorEastAsia" w:hAnsi="Arial" w:cs="Arial"/>
                <w:sz w:val="20"/>
                <w:szCs w:val="20"/>
                <w:lang w:val="es-CL"/>
              </w:rPr>
              <w:t xml:space="preserve"> eventos de riesgos</w:t>
            </w:r>
            <w:r w:rsidRPr="00EC5BF6">
              <w:rPr>
                <w:rFonts w:ascii="Arial" w:eastAsiaTheme="minorEastAsia" w:hAnsi="Arial" w:cs="Arial"/>
                <w:sz w:val="20"/>
                <w:szCs w:val="20"/>
                <w:lang w:val="es-CL"/>
              </w:rPr>
              <w:t>.</w:t>
            </w:r>
          </w:p>
        </w:tc>
        <w:tc>
          <w:tcPr>
            <w:tcW w:w="3288" w:type="dxa"/>
          </w:tcPr>
          <w:p w14:paraId="05E9DDB8" w14:textId="5375FAE7" w:rsidR="008522CE" w:rsidRPr="00753BCD" w:rsidRDefault="00EC5BF6" w:rsidP="00F32FAC">
            <w:pPr>
              <w:jc w:val="both"/>
              <w:rPr>
                <w:rFonts w:ascii="Arial" w:eastAsiaTheme="minorEastAsia" w:hAnsi="Arial" w:cs="Arial"/>
                <w:sz w:val="20"/>
                <w:szCs w:val="20"/>
                <w:lang w:val="es-CL"/>
              </w:rPr>
            </w:pPr>
            <w:r>
              <w:rPr>
                <w:rFonts w:ascii="Arial" w:eastAsiaTheme="minorEastAsia" w:hAnsi="Arial" w:cs="Arial"/>
                <w:sz w:val="20"/>
                <w:szCs w:val="20"/>
                <w:lang w:val="es-CL"/>
              </w:rPr>
              <w:t xml:space="preserve">Interchile: </w:t>
            </w:r>
            <w:r w:rsidR="008522CE">
              <w:rPr>
                <w:rFonts w:ascii="Arial" w:eastAsiaTheme="minorEastAsia" w:hAnsi="Arial" w:cs="Arial"/>
                <w:sz w:val="20"/>
                <w:szCs w:val="20"/>
                <w:lang w:val="es-CL"/>
              </w:rPr>
              <w:t>Dirección de Estrategia</w:t>
            </w:r>
            <w:r w:rsidR="00CA263E" w:rsidRPr="00CA263E">
              <w:rPr>
                <w:lang w:val="es-CL"/>
              </w:rPr>
              <w:t xml:space="preserve"> </w:t>
            </w:r>
            <w:r w:rsidR="00CA263E" w:rsidRPr="00CA263E">
              <w:rPr>
                <w:rFonts w:ascii="Arial" w:eastAsiaTheme="minorEastAsia" w:hAnsi="Arial" w:cs="Arial"/>
                <w:sz w:val="20"/>
                <w:szCs w:val="20"/>
                <w:lang w:val="es-CL"/>
              </w:rPr>
              <w:t xml:space="preserve">y todas las gerencias </w:t>
            </w:r>
            <w:r w:rsidR="00CA263E">
              <w:rPr>
                <w:rFonts w:ascii="Arial" w:eastAsiaTheme="minorEastAsia" w:hAnsi="Arial" w:cs="Arial"/>
                <w:sz w:val="20"/>
                <w:szCs w:val="20"/>
                <w:lang w:val="es-CL"/>
              </w:rPr>
              <w:t>pertinentes</w:t>
            </w:r>
            <w:r w:rsidR="00CA263E" w:rsidRPr="00CA263E">
              <w:rPr>
                <w:rFonts w:ascii="Arial" w:eastAsiaTheme="minorEastAsia" w:hAnsi="Arial" w:cs="Arial"/>
                <w:sz w:val="20"/>
                <w:szCs w:val="20"/>
                <w:lang w:val="es-CL"/>
              </w:rPr>
              <w:t xml:space="preserve"> en la evaluación de la alternativa</w:t>
            </w:r>
          </w:p>
        </w:tc>
      </w:tr>
    </w:tbl>
    <w:p w14:paraId="06C07FF0" w14:textId="77777777" w:rsidR="008522CE" w:rsidRDefault="008522CE" w:rsidP="00170C6E">
      <w:pPr>
        <w:spacing w:after="0"/>
        <w:jc w:val="both"/>
        <w:rPr>
          <w:rFonts w:ascii="Arial" w:eastAsiaTheme="minorEastAsia" w:hAnsi="Arial" w:cs="Arial"/>
          <w:sz w:val="20"/>
          <w:szCs w:val="20"/>
        </w:rPr>
      </w:pPr>
    </w:p>
    <w:p w14:paraId="2B424CCC" w14:textId="399969DD" w:rsidR="007A1C68" w:rsidRDefault="00FD26C7" w:rsidP="00FD26C7">
      <w:pPr>
        <w:spacing w:after="0"/>
        <w:jc w:val="both"/>
        <w:rPr>
          <w:rFonts w:ascii="Arial" w:eastAsiaTheme="minorEastAsia" w:hAnsi="Arial" w:cs="Arial"/>
          <w:sz w:val="20"/>
          <w:szCs w:val="20"/>
        </w:rPr>
      </w:pPr>
      <w:r w:rsidRPr="00FD26C7">
        <w:rPr>
          <w:rFonts w:ascii="Arial" w:eastAsiaTheme="minorEastAsia" w:hAnsi="Arial" w:cs="Arial"/>
          <w:sz w:val="20"/>
          <w:szCs w:val="20"/>
        </w:rPr>
        <w:t>Una vez calculados esos elementos, se deberá actualizar el plan de renovación en caso de ser</w:t>
      </w:r>
      <w:r>
        <w:rPr>
          <w:rFonts w:ascii="Arial" w:eastAsiaTheme="minorEastAsia" w:hAnsi="Arial" w:cs="Arial"/>
          <w:sz w:val="20"/>
          <w:szCs w:val="20"/>
        </w:rPr>
        <w:t xml:space="preserve"> </w:t>
      </w:r>
      <w:r w:rsidRPr="00FD26C7">
        <w:rPr>
          <w:rFonts w:ascii="Arial" w:eastAsiaTheme="minorEastAsia" w:hAnsi="Arial" w:cs="Arial"/>
          <w:sz w:val="20"/>
          <w:szCs w:val="20"/>
        </w:rPr>
        <w:t>necesario y registro de riesgos en caso de ser necesario</w:t>
      </w:r>
      <w:r w:rsidR="00397621">
        <w:rPr>
          <w:rFonts w:ascii="Arial" w:eastAsiaTheme="minorEastAsia" w:hAnsi="Arial" w:cs="Arial"/>
          <w:sz w:val="20"/>
          <w:szCs w:val="20"/>
        </w:rPr>
        <w:t>.</w:t>
      </w:r>
    </w:p>
    <w:p w14:paraId="4D7F0645" w14:textId="1D206DBE" w:rsidR="00397621" w:rsidRDefault="00397621" w:rsidP="00FD26C7">
      <w:pPr>
        <w:spacing w:after="0"/>
        <w:jc w:val="both"/>
        <w:rPr>
          <w:rFonts w:ascii="Arial" w:eastAsiaTheme="minorEastAsia" w:hAnsi="Arial" w:cs="Arial"/>
          <w:sz w:val="20"/>
          <w:szCs w:val="20"/>
        </w:rPr>
      </w:pPr>
    </w:p>
    <w:p w14:paraId="001EE25A" w14:textId="1D07D592" w:rsidR="00397621" w:rsidRDefault="00397621" w:rsidP="00397621">
      <w:pPr>
        <w:spacing w:after="0"/>
        <w:jc w:val="both"/>
        <w:rPr>
          <w:rFonts w:ascii="Arial" w:eastAsiaTheme="minorEastAsia" w:hAnsi="Arial" w:cs="Arial"/>
          <w:sz w:val="20"/>
          <w:szCs w:val="20"/>
        </w:rPr>
      </w:pPr>
      <w:r w:rsidRPr="00397621">
        <w:rPr>
          <w:rFonts w:ascii="Arial" w:eastAsiaTheme="minorEastAsia" w:hAnsi="Arial" w:cs="Arial"/>
          <w:sz w:val="20"/>
          <w:szCs w:val="20"/>
        </w:rPr>
        <w:t>Para casos en los cuales no se tenga información detallada y asignada para cada activo, se utilizarán</w:t>
      </w:r>
      <w:r>
        <w:rPr>
          <w:rFonts w:ascii="Arial" w:eastAsiaTheme="minorEastAsia" w:hAnsi="Arial" w:cs="Arial"/>
          <w:sz w:val="20"/>
          <w:szCs w:val="20"/>
        </w:rPr>
        <w:t xml:space="preserve"> </w:t>
      </w:r>
      <w:r w:rsidRPr="00397621">
        <w:rPr>
          <w:rFonts w:ascii="Arial" w:eastAsiaTheme="minorEastAsia" w:hAnsi="Arial" w:cs="Arial"/>
          <w:sz w:val="20"/>
          <w:szCs w:val="20"/>
        </w:rPr>
        <w:t>evaluaciones orientadas a una decisión entre diferentes alternativas (opciones de cambiar o renovar</w:t>
      </w:r>
      <w:r>
        <w:rPr>
          <w:rFonts w:ascii="Arial" w:eastAsiaTheme="minorEastAsia" w:hAnsi="Arial" w:cs="Arial"/>
          <w:sz w:val="20"/>
          <w:szCs w:val="20"/>
        </w:rPr>
        <w:t xml:space="preserve"> </w:t>
      </w:r>
      <w:r w:rsidRPr="00397621">
        <w:rPr>
          <w:rFonts w:ascii="Arial" w:eastAsiaTheme="minorEastAsia" w:hAnsi="Arial" w:cs="Arial"/>
          <w:sz w:val="20"/>
          <w:szCs w:val="20"/>
        </w:rPr>
        <w:t>vs mantener), para ello se requiere proyectar los costos después de la intervención del activo. Estas</w:t>
      </w:r>
      <w:r>
        <w:rPr>
          <w:rFonts w:ascii="Arial" w:eastAsiaTheme="minorEastAsia" w:hAnsi="Arial" w:cs="Arial"/>
          <w:sz w:val="20"/>
          <w:szCs w:val="20"/>
        </w:rPr>
        <w:t xml:space="preserve"> </w:t>
      </w:r>
      <w:r w:rsidRPr="00397621">
        <w:rPr>
          <w:rFonts w:ascii="Arial" w:eastAsiaTheme="minorEastAsia" w:hAnsi="Arial" w:cs="Arial"/>
          <w:sz w:val="20"/>
          <w:szCs w:val="20"/>
        </w:rPr>
        <w:t xml:space="preserve">proyecciones del OPEX y CAPEX, las construirá la </w:t>
      </w:r>
      <w:r w:rsidR="008E312C">
        <w:rPr>
          <w:rFonts w:ascii="Arial" w:eastAsiaTheme="minorEastAsia" w:hAnsi="Arial" w:cs="Arial"/>
          <w:sz w:val="20"/>
          <w:szCs w:val="20"/>
        </w:rPr>
        <w:t xml:space="preserve">Gerencia </w:t>
      </w:r>
      <w:r w:rsidRPr="00397621">
        <w:rPr>
          <w:rFonts w:ascii="Arial" w:eastAsiaTheme="minorEastAsia" w:hAnsi="Arial" w:cs="Arial"/>
          <w:sz w:val="20"/>
          <w:szCs w:val="20"/>
        </w:rPr>
        <w:t xml:space="preserve">de </w:t>
      </w:r>
      <w:r w:rsidR="008E312C">
        <w:rPr>
          <w:rFonts w:ascii="Arial" w:eastAsiaTheme="minorEastAsia" w:hAnsi="Arial" w:cs="Arial"/>
          <w:sz w:val="20"/>
          <w:szCs w:val="20"/>
        </w:rPr>
        <w:t xml:space="preserve">Operaciones y Mantenimiento </w:t>
      </w:r>
      <w:r w:rsidRPr="00397621">
        <w:rPr>
          <w:rFonts w:ascii="Arial" w:eastAsiaTheme="minorEastAsia" w:hAnsi="Arial" w:cs="Arial"/>
          <w:sz w:val="20"/>
          <w:szCs w:val="20"/>
        </w:rPr>
        <w:t>de I</w:t>
      </w:r>
      <w:r w:rsidR="008E312C">
        <w:rPr>
          <w:rFonts w:ascii="Arial" w:eastAsiaTheme="minorEastAsia" w:hAnsi="Arial" w:cs="Arial"/>
          <w:sz w:val="20"/>
          <w:szCs w:val="20"/>
        </w:rPr>
        <w:t>nterchile</w:t>
      </w:r>
      <w:r w:rsidRPr="00397621">
        <w:rPr>
          <w:rFonts w:ascii="Arial" w:eastAsiaTheme="minorEastAsia" w:hAnsi="Arial" w:cs="Arial"/>
          <w:sz w:val="20"/>
          <w:szCs w:val="20"/>
        </w:rPr>
        <w:t xml:space="preserve">, soportada en datos de referencia de proyectos similares o información de mercado. Apoyados en </w:t>
      </w:r>
      <w:r w:rsidR="008E312C" w:rsidRPr="00397621">
        <w:rPr>
          <w:rFonts w:ascii="Arial" w:eastAsiaTheme="minorEastAsia" w:hAnsi="Arial" w:cs="Arial"/>
          <w:sz w:val="20"/>
          <w:szCs w:val="20"/>
        </w:rPr>
        <w:t xml:space="preserve">la </w:t>
      </w:r>
      <w:r w:rsidR="008E312C">
        <w:rPr>
          <w:rFonts w:ascii="Arial" w:eastAsiaTheme="minorEastAsia" w:hAnsi="Arial" w:cs="Arial"/>
          <w:sz w:val="20"/>
          <w:szCs w:val="20"/>
        </w:rPr>
        <w:t>herramienta</w:t>
      </w:r>
      <w:r w:rsidRPr="00397621">
        <w:rPr>
          <w:rFonts w:ascii="Arial" w:eastAsiaTheme="minorEastAsia" w:hAnsi="Arial" w:cs="Arial"/>
          <w:sz w:val="20"/>
          <w:szCs w:val="20"/>
        </w:rPr>
        <w:t xml:space="preserve"> SALVO o su equivalente, se construirán los flujos asociados a los costos del activo</w:t>
      </w:r>
      <w:r w:rsidR="008E312C">
        <w:rPr>
          <w:rFonts w:ascii="Arial" w:eastAsiaTheme="minorEastAsia" w:hAnsi="Arial" w:cs="Arial"/>
          <w:sz w:val="20"/>
          <w:szCs w:val="20"/>
        </w:rPr>
        <w:t xml:space="preserve"> </w:t>
      </w:r>
      <w:r w:rsidRPr="00397621">
        <w:rPr>
          <w:rFonts w:ascii="Arial" w:eastAsiaTheme="minorEastAsia" w:hAnsi="Arial" w:cs="Arial"/>
          <w:sz w:val="20"/>
          <w:szCs w:val="20"/>
        </w:rPr>
        <w:t xml:space="preserve">durante el ciclo de vida </w:t>
      </w:r>
      <w:r w:rsidR="008E312C" w:rsidRPr="00397621">
        <w:rPr>
          <w:rFonts w:ascii="Arial" w:eastAsiaTheme="minorEastAsia" w:hAnsi="Arial" w:cs="Arial"/>
          <w:sz w:val="20"/>
          <w:szCs w:val="20"/>
        </w:rPr>
        <w:t>de este</w:t>
      </w:r>
      <w:r w:rsidRPr="00397621">
        <w:rPr>
          <w:rFonts w:ascii="Arial" w:eastAsiaTheme="minorEastAsia" w:hAnsi="Arial" w:cs="Arial"/>
          <w:sz w:val="20"/>
          <w:szCs w:val="20"/>
        </w:rPr>
        <w:t>, correspondientes a las alterativas a analizar. Con esta misma</w:t>
      </w:r>
      <w:r w:rsidR="008E312C">
        <w:rPr>
          <w:rFonts w:ascii="Arial" w:eastAsiaTheme="minorEastAsia" w:hAnsi="Arial" w:cs="Arial"/>
          <w:sz w:val="20"/>
          <w:szCs w:val="20"/>
        </w:rPr>
        <w:t xml:space="preserve"> </w:t>
      </w:r>
      <w:r w:rsidRPr="00397621">
        <w:rPr>
          <w:rFonts w:ascii="Arial" w:eastAsiaTheme="minorEastAsia" w:hAnsi="Arial" w:cs="Arial"/>
          <w:sz w:val="20"/>
          <w:szCs w:val="20"/>
        </w:rPr>
        <w:t>herramienta se realizarán las sensibilidades pertinentes a los resultados</w:t>
      </w:r>
      <w:r w:rsidR="008E312C">
        <w:rPr>
          <w:rFonts w:ascii="Arial" w:eastAsiaTheme="minorEastAsia" w:hAnsi="Arial" w:cs="Arial"/>
          <w:sz w:val="20"/>
          <w:szCs w:val="20"/>
        </w:rPr>
        <w:t>.</w:t>
      </w:r>
    </w:p>
    <w:p w14:paraId="50991270" w14:textId="118DEFE9" w:rsidR="006B0F9C" w:rsidRDefault="006B0F9C">
      <w:pPr>
        <w:rPr>
          <w:rFonts w:ascii="Arial" w:eastAsiaTheme="minorEastAsia" w:hAnsi="Arial" w:cs="Arial"/>
          <w:sz w:val="20"/>
          <w:szCs w:val="20"/>
        </w:rPr>
      </w:pPr>
      <w:r>
        <w:rPr>
          <w:rFonts w:ascii="Arial" w:eastAsiaTheme="minorEastAsia" w:hAnsi="Arial" w:cs="Arial"/>
          <w:sz w:val="20"/>
          <w:szCs w:val="20"/>
        </w:rPr>
        <w:br w:type="page"/>
      </w:r>
    </w:p>
    <w:p w14:paraId="12D76F50" w14:textId="34C3089E" w:rsidR="003877EA" w:rsidRDefault="003877EA" w:rsidP="0008626D">
      <w:pPr>
        <w:pStyle w:val="Prrafodelista"/>
        <w:numPr>
          <w:ilvl w:val="1"/>
          <w:numId w:val="6"/>
        </w:numPr>
        <w:spacing w:after="0"/>
        <w:ind w:left="426"/>
        <w:jc w:val="both"/>
        <w:outlineLvl w:val="1"/>
        <w:rPr>
          <w:rFonts w:ascii="Arial" w:eastAsiaTheme="minorEastAsia" w:hAnsi="Arial" w:cs="Arial"/>
          <w:b/>
          <w:bCs/>
          <w:sz w:val="20"/>
          <w:szCs w:val="20"/>
        </w:rPr>
      </w:pPr>
      <w:bookmarkStart w:id="7" w:name="_Toc132277746"/>
      <w:r w:rsidRPr="003877EA">
        <w:rPr>
          <w:rFonts w:ascii="Arial" w:eastAsiaTheme="minorEastAsia" w:hAnsi="Arial" w:cs="Arial"/>
          <w:b/>
          <w:bCs/>
          <w:sz w:val="20"/>
          <w:szCs w:val="20"/>
        </w:rPr>
        <w:t>TOMA DE DECISIONES</w:t>
      </w:r>
      <w:bookmarkEnd w:id="7"/>
    </w:p>
    <w:p w14:paraId="392E687F" w14:textId="79AFBB14" w:rsidR="003877EA" w:rsidRDefault="003877EA" w:rsidP="003877EA">
      <w:pPr>
        <w:spacing w:after="0"/>
        <w:jc w:val="both"/>
        <w:rPr>
          <w:rFonts w:ascii="Arial" w:eastAsiaTheme="minorEastAsia" w:hAnsi="Arial" w:cs="Arial"/>
          <w:b/>
          <w:bCs/>
          <w:sz w:val="20"/>
          <w:szCs w:val="20"/>
        </w:rPr>
      </w:pPr>
    </w:p>
    <w:p w14:paraId="708C6877" w14:textId="141BBE67" w:rsidR="00A84E2F" w:rsidRDefault="00A84E2F" w:rsidP="00A84E2F">
      <w:pPr>
        <w:spacing w:after="0"/>
        <w:jc w:val="both"/>
        <w:rPr>
          <w:rFonts w:ascii="Arial" w:eastAsiaTheme="minorEastAsia" w:hAnsi="Arial" w:cs="Arial"/>
          <w:sz w:val="20"/>
          <w:szCs w:val="20"/>
        </w:rPr>
      </w:pPr>
      <w:r w:rsidRPr="00A84E2F">
        <w:rPr>
          <w:rFonts w:ascii="Arial" w:eastAsiaTheme="minorEastAsia" w:hAnsi="Arial" w:cs="Arial"/>
          <w:sz w:val="20"/>
          <w:szCs w:val="20"/>
        </w:rPr>
        <w:t>Para nuevos proyectos o ampliaciones se gestionarán a través de la Vicepresidencia de Desarrollo</w:t>
      </w:r>
      <w:r>
        <w:rPr>
          <w:rFonts w:ascii="Arial" w:eastAsiaTheme="minorEastAsia" w:hAnsi="Arial" w:cs="Arial"/>
          <w:sz w:val="20"/>
          <w:szCs w:val="20"/>
        </w:rPr>
        <w:t xml:space="preserve"> </w:t>
      </w:r>
      <w:r w:rsidRPr="00A84E2F">
        <w:rPr>
          <w:rFonts w:ascii="Arial" w:eastAsiaTheme="minorEastAsia" w:hAnsi="Arial" w:cs="Arial"/>
          <w:sz w:val="20"/>
          <w:szCs w:val="20"/>
        </w:rPr>
        <w:t>de Negocios, cuando esta Vicepresidencia así lo estipule, para la toma de decisiones se presentarán</w:t>
      </w:r>
      <w:r>
        <w:rPr>
          <w:rFonts w:ascii="Arial" w:eastAsiaTheme="minorEastAsia" w:hAnsi="Arial" w:cs="Arial"/>
          <w:sz w:val="20"/>
          <w:szCs w:val="20"/>
        </w:rPr>
        <w:t xml:space="preserve"> </w:t>
      </w:r>
      <w:r w:rsidRPr="00A84E2F">
        <w:rPr>
          <w:rFonts w:ascii="Arial" w:eastAsiaTheme="minorEastAsia" w:hAnsi="Arial" w:cs="Arial"/>
          <w:sz w:val="20"/>
          <w:szCs w:val="20"/>
        </w:rPr>
        <w:t xml:space="preserve">los casos únicamente al </w:t>
      </w:r>
      <w:r>
        <w:rPr>
          <w:rFonts w:ascii="Arial" w:eastAsiaTheme="minorEastAsia" w:hAnsi="Arial" w:cs="Arial"/>
          <w:sz w:val="20"/>
          <w:szCs w:val="20"/>
        </w:rPr>
        <w:t>Comité de Gerencia</w:t>
      </w:r>
      <w:r w:rsidRPr="00A84E2F">
        <w:rPr>
          <w:rFonts w:ascii="Arial" w:eastAsiaTheme="minorEastAsia" w:hAnsi="Arial" w:cs="Arial"/>
          <w:sz w:val="20"/>
          <w:szCs w:val="20"/>
        </w:rPr>
        <w:t xml:space="preserve"> de </w:t>
      </w:r>
      <w:r w:rsidRPr="00383D1B">
        <w:rPr>
          <w:rFonts w:ascii="Arial" w:eastAsiaTheme="minorEastAsia" w:hAnsi="Arial" w:cs="Arial"/>
          <w:sz w:val="20"/>
          <w:szCs w:val="20"/>
        </w:rPr>
        <w:t>Interchile</w:t>
      </w:r>
      <w:r w:rsidRPr="00A84E2F">
        <w:rPr>
          <w:rFonts w:ascii="Arial" w:eastAsiaTheme="minorEastAsia" w:hAnsi="Arial" w:cs="Arial"/>
          <w:sz w:val="20"/>
          <w:szCs w:val="20"/>
        </w:rPr>
        <w:t>.</w:t>
      </w:r>
    </w:p>
    <w:p w14:paraId="514941CA" w14:textId="77777777" w:rsidR="00A84E2F" w:rsidRPr="00A84E2F" w:rsidRDefault="00A84E2F" w:rsidP="00A84E2F">
      <w:pPr>
        <w:spacing w:after="0"/>
        <w:jc w:val="both"/>
        <w:rPr>
          <w:rFonts w:ascii="Arial" w:eastAsiaTheme="minorEastAsia" w:hAnsi="Arial" w:cs="Arial"/>
          <w:sz w:val="20"/>
          <w:szCs w:val="20"/>
        </w:rPr>
      </w:pPr>
    </w:p>
    <w:p w14:paraId="55908DFF" w14:textId="77777777" w:rsidR="00A84E2F" w:rsidRPr="00A84E2F" w:rsidRDefault="00A84E2F" w:rsidP="00A84E2F">
      <w:pPr>
        <w:spacing w:after="0"/>
        <w:jc w:val="both"/>
        <w:rPr>
          <w:rFonts w:ascii="Arial" w:eastAsiaTheme="minorEastAsia" w:hAnsi="Arial" w:cs="Arial"/>
          <w:sz w:val="20"/>
          <w:szCs w:val="20"/>
        </w:rPr>
      </w:pPr>
      <w:r w:rsidRPr="00A84E2F">
        <w:rPr>
          <w:rFonts w:ascii="Arial" w:eastAsiaTheme="minorEastAsia" w:hAnsi="Arial" w:cs="Arial"/>
          <w:sz w:val="20"/>
          <w:szCs w:val="20"/>
        </w:rPr>
        <w:t xml:space="preserve">Para la evaluación de alternativas y toma de decisiones, tendrá preferencia desde el punto de vista </w:t>
      </w:r>
    </w:p>
    <w:p w14:paraId="25A457B7" w14:textId="77777777" w:rsidR="00A84E2F" w:rsidRPr="00A84E2F" w:rsidRDefault="00A84E2F" w:rsidP="00A84E2F">
      <w:pPr>
        <w:spacing w:after="0"/>
        <w:jc w:val="both"/>
        <w:rPr>
          <w:rFonts w:ascii="Arial" w:eastAsiaTheme="minorEastAsia" w:hAnsi="Arial" w:cs="Arial"/>
          <w:sz w:val="20"/>
          <w:szCs w:val="20"/>
        </w:rPr>
      </w:pPr>
      <w:r w:rsidRPr="00A84E2F">
        <w:rPr>
          <w:rFonts w:ascii="Arial" w:eastAsiaTheme="minorEastAsia" w:hAnsi="Arial" w:cs="Arial"/>
          <w:sz w:val="20"/>
          <w:szCs w:val="20"/>
        </w:rPr>
        <w:t xml:space="preserve">de costo, riesgo y desempeño, aquella alternativa que presente un menor Valor Presente del TOTEX </w:t>
      </w:r>
    </w:p>
    <w:p w14:paraId="65A8F5BC" w14:textId="3A7CFF69" w:rsidR="003877EA" w:rsidRDefault="00A84E2F" w:rsidP="00A84E2F">
      <w:pPr>
        <w:spacing w:after="0"/>
        <w:jc w:val="both"/>
        <w:rPr>
          <w:rFonts w:ascii="Arial" w:eastAsiaTheme="minorEastAsia" w:hAnsi="Arial" w:cs="Arial"/>
          <w:sz w:val="20"/>
          <w:szCs w:val="20"/>
        </w:rPr>
      </w:pPr>
      <w:r w:rsidRPr="00A84E2F">
        <w:rPr>
          <w:rFonts w:ascii="Arial" w:eastAsiaTheme="minorEastAsia" w:hAnsi="Arial" w:cs="Arial"/>
          <w:sz w:val="20"/>
          <w:szCs w:val="20"/>
        </w:rPr>
        <w:t>o menor valor anual equivalente.</w:t>
      </w:r>
    </w:p>
    <w:p w14:paraId="685F26B3" w14:textId="255C8CC7" w:rsidR="00BA70A2" w:rsidRDefault="00BA70A2" w:rsidP="00A84E2F">
      <w:pPr>
        <w:spacing w:after="0"/>
        <w:jc w:val="both"/>
        <w:rPr>
          <w:rFonts w:ascii="Arial" w:eastAsiaTheme="minorEastAsia" w:hAnsi="Arial" w:cs="Arial"/>
          <w:sz w:val="20"/>
          <w:szCs w:val="20"/>
        </w:rPr>
      </w:pPr>
    </w:p>
    <w:p w14:paraId="6A916969" w14:textId="7CF0AA78" w:rsidR="00BA70A2" w:rsidRDefault="00BA70A2" w:rsidP="0008626D">
      <w:pPr>
        <w:pStyle w:val="Prrafodelista"/>
        <w:numPr>
          <w:ilvl w:val="1"/>
          <w:numId w:val="6"/>
        </w:numPr>
        <w:spacing w:after="0"/>
        <w:ind w:left="426"/>
        <w:jc w:val="both"/>
        <w:outlineLvl w:val="1"/>
        <w:rPr>
          <w:rFonts w:ascii="Arial" w:eastAsiaTheme="minorEastAsia" w:hAnsi="Arial" w:cs="Arial"/>
          <w:b/>
          <w:bCs/>
          <w:sz w:val="20"/>
          <w:szCs w:val="20"/>
        </w:rPr>
      </w:pPr>
      <w:bookmarkStart w:id="8" w:name="_Toc132277747"/>
      <w:r w:rsidRPr="00BA70A2">
        <w:rPr>
          <w:rFonts w:ascii="Arial" w:eastAsiaTheme="minorEastAsia" w:hAnsi="Arial" w:cs="Arial"/>
          <w:b/>
          <w:bCs/>
          <w:sz w:val="20"/>
          <w:szCs w:val="20"/>
        </w:rPr>
        <w:t>SEGUIMIENTO Y EVALUACIÓN</w:t>
      </w:r>
      <w:bookmarkEnd w:id="8"/>
    </w:p>
    <w:p w14:paraId="37C8C5E4" w14:textId="070D0EA6" w:rsidR="00BA70A2" w:rsidRDefault="00BA70A2" w:rsidP="00BA70A2">
      <w:pPr>
        <w:spacing w:after="0"/>
        <w:jc w:val="both"/>
        <w:rPr>
          <w:rFonts w:ascii="Arial" w:eastAsiaTheme="minorEastAsia" w:hAnsi="Arial" w:cs="Arial"/>
          <w:b/>
          <w:bCs/>
          <w:sz w:val="20"/>
          <w:szCs w:val="20"/>
        </w:rPr>
      </w:pPr>
    </w:p>
    <w:p w14:paraId="1AF7B732" w14:textId="36F02192" w:rsidR="00BA70A2" w:rsidRDefault="00BA70A2" w:rsidP="00BA70A2">
      <w:pPr>
        <w:spacing w:after="0"/>
        <w:jc w:val="both"/>
        <w:rPr>
          <w:rFonts w:ascii="Arial" w:eastAsiaTheme="minorEastAsia" w:hAnsi="Arial" w:cs="Arial"/>
          <w:sz w:val="20"/>
          <w:szCs w:val="20"/>
        </w:rPr>
      </w:pPr>
      <w:r w:rsidRPr="00BA70A2">
        <w:rPr>
          <w:rFonts w:ascii="Arial" w:eastAsiaTheme="minorEastAsia" w:hAnsi="Arial" w:cs="Arial"/>
          <w:sz w:val="20"/>
          <w:szCs w:val="20"/>
        </w:rPr>
        <w:t>Para el seguimiento y evaluación de resultados de los TOTEX y casos de negocio, se realizarán las</w:t>
      </w:r>
      <w:r w:rsidR="0016670F">
        <w:rPr>
          <w:rFonts w:ascii="Arial" w:eastAsiaTheme="minorEastAsia" w:hAnsi="Arial" w:cs="Arial"/>
          <w:sz w:val="20"/>
          <w:szCs w:val="20"/>
        </w:rPr>
        <w:t xml:space="preserve"> </w:t>
      </w:r>
      <w:r w:rsidRPr="00BA70A2">
        <w:rPr>
          <w:rFonts w:ascii="Arial" w:eastAsiaTheme="minorEastAsia" w:hAnsi="Arial" w:cs="Arial"/>
          <w:sz w:val="20"/>
          <w:szCs w:val="20"/>
        </w:rPr>
        <w:t xml:space="preserve">evaluaciones </w:t>
      </w:r>
      <w:proofErr w:type="spellStart"/>
      <w:r w:rsidRPr="00383D1B">
        <w:rPr>
          <w:rFonts w:ascii="Arial" w:eastAsiaTheme="minorEastAsia" w:hAnsi="Arial" w:cs="Arial"/>
          <w:i/>
          <w:iCs/>
          <w:sz w:val="20"/>
          <w:szCs w:val="20"/>
        </w:rPr>
        <w:t>expost</w:t>
      </w:r>
      <w:proofErr w:type="spellEnd"/>
      <w:r w:rsidRPr="00BA70A2">
        <w:rPr>
          <w:rFonts w:ascii="Arial" w:eastAsiaTheme="minorEastAsia" w:hAnsi="Arial" w:cs="Arial"/>
          <w:sz w:val="20"/>
          <w:szCs w:val="20"/>
        </w:rPr>
        <w:t xml:space="preserve"> con base en lo establecido en los procedimientos de la matriz.</w:t>
      </w:r>
    </w:p>
    <w:p w14:paraId="3544AB37" w14:textId="26693A45" w:rsidR="0016670F" w:rsidRDefault="0016670F" w:rsidP="00BA70A2">
      <w:pPr>
        <w:spacing w:after="0"/>
        <w:jc w:val="both"/>
        <w:rPr>
          <w:rFonts w:ascii="Arial" w:eastAsiaTheme="minorEastAsia" w:hAnsi="Arial" w:cs="Arial"/>
          <w:sz w:val="20"/>
          <w:szCs w:val="20"/>
        </w:rPr>
      </w:pPr>
    </w:p>
    <w:p w14:paraId="2DED2203" w14:textId="2C7E2FE2" w:rsidR="0016670F" w:rsidRDefault="0016670F" w:rsidP="0008626D">
      <w:pPr>
        <w:pStyle w:val="Prrafodelista"/>
        <w:numPr>
          <w:ilvl w:val="0"/>
          <w:numId w:val="6"/>
        </w:numPr>
        <w:spacing w:after="0"/>
        <w:jc w:val="both"/>
        <w:outlineLvl w:val="0"/>
        <w:rPr>
          <w:rFonts w:ascii="Arial" w:eastAsiaTheme="minorEastAsia" w:hAnsi="Arial" w:cs="Arial"/>
          <w:b/>
          <w:bCs/>
          <w:sz w:val="20"/>
          <w:szCs w:val="20"/>
        </w:rPr>
      </w:pPr>
      <w:bookmarkStart w:id="9" w:name="_Toc132277748"/>
      <w:r w:rsidRPr="0016670F">
        <w:rPr>
          <w:rFonts w:ascii="Arial" w:eastAsiaTheme="minorEastAsia" w:hAnsi="Arial" w:cs="Arial"/>
          <w:b/>
          <w:bCs/>
          <w:sz w:val="20"/>
          <w:szCs w:val="20"/>
        </w:rPr>
        <w:t>CONTROL DE REVISIONES</w:t>
      </w:r>
      <w:r w:rsidR="00176E01">
        <w:rPr>
          <w:rFonts w:ascii="Arial" w:eastAsiaTheme="minorEastAsia" w:hAnsi="Arial" w:cs="Arial"/>
          <w:b/>
          <w:bCs/>
          <w:sz w:val="20"/>
          <w:szCs w:val="20"/>
        </w:rPr>
        <w:t xml:space="preserve"> Y APROBACIONES</w:t>
      </w:r>
      <w:bookmarkEnd w:id="9"/>
    </w:p>
    <w:p w14:paraId="7FFFC83D" w14:textId="3A3D52F5" w:rsidR="00176E01" w:rsidRDefault="00176E01" w:rsidP="00176E01">
      <w:pPr>
        <w:spacing w:after="0"/>
        <w:jc w:val="both"/>
        <w:rPr>
          <w:rFonts w:ascii="Arial" w:eastAsiaTheme="minorEastAsia" w:hAnsi="Arial" w:cs="Arial"/>
          <w:b/>
          <w:bCs/>
          <w:sz w:val="20"/>
          <w:szCs w:val="20"/>
        </w:rPr>
      </w:pPr>
    </w:p>
    <w:tbl>
      <w:tblPr>
        <w:tblStyle w:val="Tablaconcuadrcula"/>
        <w:tblW w:w="0" w:type="auto"/>
        <w:tblLook w:val="04A0" w:firstRow="1" w:lastRow="0" w:firstColumn="1" w:lastColumn="0" w:noHBand="0" w:noVBand="1"/>
      </w:tblPr>
      <w:tblGrid>
        <w:gridCol w:w="1271"/>
        <w:gridCol w:w="1888"/>
        <w:gridCol w:w="1888"/>
        <w:gridCol w:w="1888"/>
        <w:gridCol w:w="1888"/>
      </w:tblGrid>
      <w:tr w:rsidR="006A3A7B" w14:paraId="62338DC1" w14:textId="77777777" w:rsidTr="00445CAA">
        <w:tc>
          <w:tcPr>
            <w:tcW w:w="1271" w:type="dxa"/>
            <w:shd w:val="clear" w:color="auto" w:fill="D9D9D9" w:themeFill="background1" w:themeFillShade="D9"/>
            <w:vAlign w:val="center"/>
          </w:tcPr>
          <w:p w14:paraId="53D29DC4" w14:textId="6E5FEFDD" w:rsidR="006A3A7B" w:rsidRPr="00626A72" w:rsidRDefault="006A3A7B" w:rsidP="006A3A7B">
            <w:pPr>
              <w:jc w:val="center"/>
              <w:rPr>
                <w:rFonts w:ascii="Arial" w:eastAsiaTheme="minorEastAsia" w:hAnsi="Arial" w:cs="Arial"/>
                <w:b/>
                <w:bCs/>
                <w:sz w:val="20"/>
                <w:szCs w:val="20"/>
                <w:lang w:val="es-ES"/>
              </w:rPr>
            </w:pPr>
            <w:r w:rsidRPr="00626A72">
              <w:rPr>
                <w:rFonts w:ascii="Arial" w:eastAsiaTheme="minorEastAsia" w:hAnsi="Arial" w:cs="Arial"/>
                <w:b/>
                <w:bCs/>
                <w:sz w:val="20"/>
                <w:szCs w:val="20"/>
                <w:lang w:val="es-ES"/>
              </w:rPr>
              <w:t>VERSIÓN</w:t>
            </w:r>
          </w:p>
        </w:tc>
        <w:tc>
          <w:tcPr>
            <w:tcW w:w="1888" w:type="dxa"/>
            <w:shd w:val="clear" w:color="auto" w:fill="D9D9D9" w:themeFill="background1" w:themeFillShade="D9"/>
            <w:vAlign w:val="center"/>
          </w:tcPr>
          <w:p w14:paraId="51FB37B4" w14:textId="1283C8D2" w:rsidR="006A3A7B" w:rsidRPr="00626A72" w:rsidRDefault="006A3A7B" w:rsidP="006A3A7B">
            <w:pPr>
              <w:jc w:val="center"/>
              <w:rPr>
                <w:rFonts w:ascii="Arial" w:eastAsiaTheme="minorEastAsia" w:hAnsi="Arial" w:cs="Arial"/>
                <w:b/>
                <w:bCs/>
                <w:sz w:val="20"/>
                <w:szCs w:val="20"/>
                <w:lang w:val="es-ES"/>
              </w:rPr>
            </w:pPr>
            <w:r w:rsidRPr="00626A72">
              <w:rPr>
                <w:rFonts w:ascii="Arial" w:eastAsiaTheme="minorEastAsia" w:hAnsi="Arial" w:cs="Arial"/>
                <w:b/>
                <w:bCs/>
                <w:sz w:val="20"/>
                <w:szCs w:val="20"/>
                <w:lang w:val="es-ES"/>
              </w:rPr>
              <w:t>ELABORA</w:t>
            </w:r>
          </w:p>
        </w:tc>
        <w:tc>
          <w:tcPr>
            <w:tcW w:w="1888" w:type="dxa"/>
            <w:shd w:val="clear" w:color="auto" w:fill="D9D9D9" w:themeFill="background1" w:themeFillShade="D9"/>
            <w:vAlign w:val="center"/>
          </w:tcPr>
          <w:p w14:paraId="2D94C384" w14:textId="18B16A19" w:rsidR="006A3A7B" w:rsidRPr="00626A72" w:rsidRDefault="006A3A7B" w:rsidP="006A3A7B">
            <w:pPr>
              <w:jc w:val="center"/>
              <w:rPr>
                <w:rFonts w:ascii="Arial" w:eastAsiaTheme="minorEastAsia" w:hAnsi="Arial" w:cs="Arial"/>
                <w:b/>
                <w:bCs/>
                <w:sz w:val="20"/>
                <w:szCs w:val="20"/>
                <w:lang w:val="es-ES"/>
              </w:rPr>
            </w:pPr>
            <w:r w:rsidRPr="00626A72">
              <w:rPr>
                <w:rFonts w:ascii="Arial" w:eastAsiaTheme="minorEastAsia" w:hAnsi="Arial" w:cs="Arial"/>
                <w:b/>
                <w:bCs/>
                <w:sz w:val="20"/>
                <w:szCs w:val="20"/>
                <w:lang w:val="es-ES"/>
              </w:rPr>
              <w:t>REVISA</w:t>
            </w:r>
          </w:p>
        </w:tc>
        <w:tc>
          <w:tcPr>
            <w:tcW w:w="3776" w:type="dxa"/>
            <w:gridSpan w:val="2"/>
            <w:shd w:val="clear" w:color="auto" w:fill="D9D9D9" w:themeFill="background1" w:themeFillShade="D9"/>
            <w:vAlign w:val="center"/>
          </w:tcPr>
          <w:p w14:paraId="679BE1D5" w14:textId="6DFF538D" w:rsidR="006A3A7B" w:rsidRPr="00626A72" w:rsidRDefault="006A3A7B" w:rsidP="006A3A7B">
            <w:pPr>
              <w:jc w:val="center"/>
              <w:rPr>
                <w:rFonts w:ascii="Arial" w:eastAsiaTheme="minorEastAsia" w:hAnsi="Arial" w:cs="Arial"/>
                <w:b/>
                <w:bCs/>
                <w:sz w:val="20"/>
                <w:szCs w:val="20"/>
                <w:lang w:val="es-ES"/>
              </w:rPr>
            </w:pPr>
            <w:r w:rsidRPr="00626A72">
              <w:rPr>
                <w:rFonts w:ascii="Arial" w:eastAsiaTheme="minorEastAsia" w:hAnsi="Arial" w:cs="Arial"/>
                <w:b/>
                <w:bCs/>
                <w:sz w:val="20"/>
                <w:szCs w:val="20"/>
                <w:lang w:val="es-ES"/>
              </w:rPr>
              <w:t>APRUEBA</w:t>
            </w:r>
          </w:p>
        </w:tc>
      </w:tr>
      <w:tr w:rsidR="00626A72" w14:paraId="718DE771" w14:textId="77777777" w:rsidTr="00445CAA">
        <w:tc>
          <w:tcPr>
            <w:tcW w:w="1271" w:type="dxa"/>
          </w:tcPr>
          <w:p w14:paraId="6ED21C19" w14:textId="4FF5F73E" w:rsidR="00626A72" w:rsidRPr="00626A72" w:rsidRDefault="00626A72" w:rsidP="00626A72">
            <w:pPr>
              <w:jc w:val="both"/>
              <w:rPr>
                <w:rFonts w:ascii="Arial" w:eastAsiaTheme="minorEastAsia" w:hAnsi="Arial" w:cs="Arial"/>
                <w:sz w:val="20"/>
                <w:szCs w:val="20"/>
                <w:lang w:val="es-ES"/>
              </w:rPr>
            </w:pPr>
            <w:r w:rsidRPr="00626A72">
              <w:rPr>
                <w:rFonts w:ascii="Arial" w:eastAsiaTheme="minorEastAsia" w:hAnsi="Arial" w:cs="Arial"/>
                <w:sz w:val="20"/>
                <w:szCs w:val="20"/>
                <w:lang w:val="es-ES"/>
              </w:rPr>
              <w:t>1.0</w:t>
            </w:r>
          </w:p>
        </w:tc>
        <w:tc>
          <w:tcPr>
            <w:tcW w:w="1888" w:type="dxa"/>
          </w:tcPr>
          <w:p w14:paraId="0D8CD602" w14:textId="60121E3A" w:rsidR="00626A72" w:rsidRPr="00626A72" w:rsidRDefault="00626A72" w:rsidP="00626A72">
            <w:pPr>
              <w:jc w:val="both"/>
              <w:rPr>
                <w:rFonts w:ascii="Arial" w:eastAsiaTheme="minorEastAsia" w:hAnsi="Arial" w:cs="Arial"/>
                <w:sz w:val="20"/>
                <w:szCs w:val="20"/>
                <w:lang w:val="es-ES"/>
              </w:rPr>
            </w:pPr>
            <w:r>
              <w:rPr>
                <w:rFonts w:ascii="Arial" w:eastAsiaTheme="minorEastAsia" w:hAnsi="Arial" w:cs="Arial"/>
                <w:sz w:val="20"/>
                <w:szCs w:val="20"/>
                <w:lang w:val="es-ES"/>
              </w:rPr>
              <w:t>Ricardo Cantillana, Especialista financiero</w:t>
            </w:r>
          </w:p>
        </w:tc>
        <w:tc>
          <w:tcPr>
            <w:tcW w:w="1888" w:type="dxa"/>
          </w:tcPr>
          <w:p w14:paraId="6EFAC5FE" w14:textId="38F69EC5" w:rsidR="00626A72" w:rsidRPr="00626A72" w:rsidRDefault="00626A72" w:rsidP="00626A72">
            <w:pPr>
              <w:jc w:val="both"/>
              <w:rPr>
                <w:rFonts w:ascii="Arial" w:eastAsiaTheme="minorEastAsia" w:hAnsi="Arial" w:cs="Arial"/>
                <w:sz w:val="20"/>
                <w:szCs w:val="20"/>
                <w:lang w:val="es-ES"/>
              </w:rPr>
            </w:pPr>
            <w:r>
              <w:rPr>
                <w:rFonts w:ascii="Arial" w:eastAsiaTheme="minorEastAsia" w:hAnsi="Arial" w:cs="Arial"/>
                <w:sz w:val="20"/>
                <w:szCs w:val="20"/>
                <w:lang w:val="es-ES"/>
              </w:rPr>
              <w:t>Gustavo Cardona, Gerente de Finanzas</w:t>
            </w:r>
          </w:p>
        </w:tc>
        <w:tc>
          <w:tcPr>
            <w:tcW w:w="1888" w:type="dxa"/>
          </w:tcPr>
          <w:p w14:paraId="258A951D" w14:textId="74D4D6AA" w:rsidR="00626A72" w:rsidRPr="00626A72" w:rsidRDefault="00EB4438" w:rsidP="00626A72">
            <w:pPr>
              <w:jc w:val="both"/>
              <w:rPr>
                <w:rFonts w:ascii="Arial" w:eastAsiaTheme="minorEastAsia" w:hAnsi="Arial" w:cs="Arial"/>
                <w:sz w:val="20"/>
                <w:szCs w:val="20"/>
                <w:lang w:val="es-ES"/>
              </w:rPr>
            </w:pPr>
            <w:r>
              <w:rPr>
                <w:rFonts w:ascii="Arial" w:eastAsiaTheme="minorEastAsia" w:hAnsi="Arial" w:cs="Arial"/>
                <w:sz w:val="20"/>
                <w:szCs w:val="20"/>
                <w:lang w:val="es-ES"/>
              </w:rPr>
              <w:t>Gustavo Cardona, Gerente de Finanzas</w:t>
            </w:r>
          </w:p>
        </w:tc>
        <w:tc>
          <w:tcPr>
            <w:tcW w:w="1888" w:type="dxa"/>
          </w:tcPr>
          <w:p w14:paraId="50874C7B" w14:textId="78FF4D3A" w:rsidR="00626A72" w:rsidRPr="00626A72" w:rsidRDefault="00445CAA" w:rsidP="00626A72">
            <w:pPr>
              <w:jc w:val="both"/>
              <w:rPr>
                <w:rFonts w:ascii="Arial" w:eastAsiaTheme="minorEastAsia" w:hAnsi="Arial" w:cs="Arial"/>
                <w:sz w:val="20"/>
                <w:szCs w:val="20"/>
                <w:lang w:val="es-ES"/>
              </w:rPr>
            </w:pPr>
            <w:r>
              <w:rPr>
                <w:rFonts w:ascii="Arial" w:eastAsiaTheme="minorEastAsia" w:hAnsi="Arial" w:cs="Arial"/>
                <w:sz w:val="20"/>
                <w:szCs w:val="20"/>
                <w:lang w:val="es-ES"/>
              </w:rPr>
              <w:t>Luis Llanos, Gerente General</w:t>
            </w:r>
          </w:p>
        </w:tc>
      </w:tr>
      <w:tr w:rsidR="00626A72" w14:paraId="580FA6ED" w14:textId="77777777" w:rsidTr="00445CAA">
        <w:trPr>
          <w:trHeight w:val="512"/>
        </w:trPr>
        <w:tc>
          <w:tcPr>
            <w:tcW w:w="1271" w:type="dxa"/>
          </w:tcPr>
          <w:p w14:paraId="6BF4D54E" w14:textId="278B2900" w:rsidR="00626A72" w:rsidRPr="00626A72" w:rsidRDefault="00DE0E8A" w:rsidP="00626A72">
            <w:pPr>
              <w:jc w:val="both"/>
              <w:rPr>
                <w:rFonts w:ascii="Arial" w:eastAsiaTheme="minorEastAsia" w:hAnsi="Arial" w:cs="Arial"/>
                <w:sz w:val="20"/>
                <w:szCs w:val="20"/>
                <w:lang w:val="es-ES"/>
              </w:rPr>
            </w:pPr>
            <w:r>
              <w:rPr>
                <w:rFonts w:ascii="Arial" w:eastAsiaTheme="minorEastAsia" w:hAnsi="Arial" w:cs="Arial"/>
                <w:sz w:val="20"/>
                <w:szCs w:val="20"/>
                <w:lang w:val="es-ES"/>
              </w:rPr>
              <w:t>Firma</w:t>
            </w:r>
          </w:p>
        </w:tc>
        <w:tc>
          <w:tcPr>
            <w:tcW w:w="1888" w:type="dxa"/>
          </w:tcPr>
          <w:p w14:paraId="2AA809E6" w14:textId="77777777" w:rsidR="00626A72" w:rsidRPr="00626A72" w:rsidRDefault="00626A72" w:rsidP="00626A72">
            <w:pPr>
              <w:jc w:val="both"/>
              <w:rPr>
                <w:rFonts w:ascii="Arial" w:eastAsiaTheme="minorEastAsia" w:hAnsi="Arial" w:cs="Arial"/>
                <w:sz w:val="20"/>
                <w:szCs w:val="20"/>
                <w:lang w:val="es-ES"/>
              </w:rPr>
            </w:pPr>
          </w:p>
        </w:tc>
        <w:tc>
          <w:tcPr>
            <w:tcW w:w="1888" w:type="dxa"/>
          </w:tcPr>
          <w:p w14:paraId="0B907A13" w14:textId="77777777" w:rsidR="00626A72" w:rsidRPr="00626A72" w:rsidRDefault="00626A72" w:rsidP="00626A72">
            <w:pPr>
              <w:jc w:val="both"/>
              <w:rPr>
                <w:rFonts w:ascii="Arial" w:eastAsiaTheme="minorEastAsia" w:hAnsi="Arial" w:cs="Arial"/>
                <w:sz w:val="20"/>
                <w:szCs w:val="20"/>
                <w:lang w:val="es-ES"/>
              </w:rPr>
            </w:pPr>
          </w:p>
        </w:tc>
        <w:tc>
          <w:tcPr>
            <w:tcW w:w="1888" w:type="dxa"/>
          </w:tcPr>
          <w:p w14:paraId="40A7E340" w14:textId="77777777" w:rsidR="00626A72" w:rsidRPr="00626A72" w:rsidRDefault="00626A72" w:rsidP="00626A72">
            <w:pPr>
              <w:jc w:val="both"/>
              <w:rPr>
                <w:rFonts w:ascii="Arial" w:eastAsiaTheme="minorEastAsia" w:hAnsi="Arial" w:cs="Arial"/>
                <w:sz w:val="20"/>
                <w:szCs w:val="20"/>
                <w:lang w:val="es-ES"/>
              </w:rPr>
            </w:pPr>
          </w:p>
        </w:tc>
        <w:tc>
          <w:tcPr>
            <w:tcW w:w="1888" w:type="dxa"/>
          </w:tcPr>
          <w:p w14:paraId="03C5D882" w14:textId="77777777" w:rsidR="00626A72" w:rsidRPr="00626A72" w:rsidRDefault="00626A72" w:rsidP="00626A72">
            <w:pPr>
              <w:jc w:val="both"/>
              <w:rPr>
                <w:rFonts w:ascii="Arial" w:eastAsiaTheme="minorEastAsia" w:hAnsi="Arial" w:cs="Arial"/>
                <w:sz w:val="20"/>
                <w:szCs w:val="20"/>
                <w:lang w:val="es-ES"/>
              </w:rPr>
            </w:pPr>
          </w:p>
        </w:tc>
      </w:tr>
      <w:tr w:rsidR="00626A72" w14:paraId="798ED05C" w14:textId="77777777" w:rsidTr="00445CAA">
        <w:trPr>
          <w:trHeight w:val="406"/>
        </w:trPr>
        <w:tc>
          <w:tcPr>
            <w:tcW w:w="1271" w:type="dxa"/>
          </w:tcPr>
          <w:p w14:paraId="6B83B8AC" w14:textId="0DB9C85E" w:rsidR="00626A72" w:rsidRPr="00626A72" w:rsidRDefault="00DE0E8A" w:rsidP="00626A72">
            <w:pPr>
              <w:jc w:val="both"/>
              <w:rPr>
                <w:rFonts w:ascii="Arial" w:eastAsiaTheme="minorEastAsia" w:hAnsi="Arial" w:cs="Arial"/>
                <w:sz w:val="20"/>
                <w:szCs w:val="20"/>
                <w:lang w:val="es-ES"/>
              </w:rPr>
            </w:pPr>
            <w:r>
              <w:rPr>
                <w:rFonts w:ascii="Arial" w:eastAsiaTheme="minorEastAsia" w:hAnsi="Arial" w:cs="Arial"/>
                <w:sz w:val="20"/>
                <w:szCs w:val="20"/>
                <w:lang w:val="es-ES"/>
              </w:rPr>
              <w:t>Fecha</w:t>
            </w:r>
          </w:p>
        </w:tc>
        <w:tc>
          <w:tcPr>
            <w:tcW w:w="1888" w:type="dxa"/>
          </w:tcPr>
          <w:p w14:paraId="375091E0" w14:textId="77777777" w:rsidR="00626A72" w:rsidRPr="00626A72" w:rsidRDefault="00626A72" w:rsidP="00626A72">
            <w:pPr>
              <w:jc w:val="both"/>
              <w:rPr>
                <w:rFonts w:ascii="Arial" w:eastAsiaTheme="minorEastAsia" w:hAnsi="Arial" w:cs="Arial"/>
                <w:sz w:val="20"/>
                <w:szCs w:val="20"/>
                <w:lang w:val="es-ES"/>
              </w:rPr>
            </w:pPr>
          </w:p>
        </w:tc>
        <w:tc>
          <w:tcPr>
            <w:tcW w:w="1888" w:type="dxa"/>
          </w:tcPr>
          <w:p w14:paraId="28F90DBA" w14:textId="77777777" w:rsidR="00626A72" w:rsidRPr="00626A72" w:rsidRDefault="00626A72" w:rsidP="00626A72">
            <w:pPr>
              <w:jc w:val="both"/>
              <w:rPr>
                <w:rFonts w:ascii="Arial" w:eastAsiaTheme="minorEastAsia" w:hAnsi="Arial" w:cs="Arial"/>
                <w:sz w:val="20"/>
                <w:szCs w:val="20"/>
                <w:lang w:val="es-ES"/>
              </w:rPr>
            </w:pPr>
          </w:p>
        </w:tc>
        <w:tc>
          <w:tcPr>
            <w:tcW w:w="1888" w:type="dxa"/>
          </w:tcPr>
          <w:p w14:paraId="759059C1" w14:textId="77777777" w:rsidR="00626A72" w:rsidRPr="00626A72" w:rsidRDefault="00626A72" w:rsidP="00626A72">
            <w:pPr>
              <w:jc w:val="both"/>
              <w:rPr>
                <w:rFonts w:ascii="Arial" w:eastAsiaTheme="minorEastAsia" w:hAnsi="Arial" w:cs="Arial"/>
                <w:sz w:val="20"/>
                <w:szCs w:val="20"/>
                <w:lang w:val="es-ES"/>
              </w:rPr>
            </w:pPr>
          </w:p>
        </w:tc>
        <w:tc>
          <w:tcPr>
            <w:tcW w:w="1888" w:type="dxa"/>
          </w:tcPr>
          <w:p w14:paraId="3DD0425D" w14:textId="77777777" w:rsidR="00626A72" w:rsidRPr="00626A72" w:rsidRDefault="00626A72" w:rsidP="00626A72">
            <w:pPr>
              <w:jc w:val="both"/>
              <w:rPr>
                <w:rFonts w:ascii="Arial" w:eastAsiaTheme="minorEastAsia" w:hAnsi="Arial" w:cs="Arial"/>
                <w:sz w:val="20"/>
                <w:szCs w:val="20"/>
                <w:lang w:val="es-ES"/>
              </w:rPr>
            </w:pPr>
          </w:p>
        </w:tc>
      </w:tr>
    </w:tbl>
    <w:p w14:paraId="5DA466C1" w14:textId="77777777" w:rsidR="00176E01" w:rsidRPr="00176E01" w:rsidRDefault="00176E01" w:rsidP="00176E01">
      <w:pPr>
        <w:spacing w:after="0"/>
        <w:jc w:val="both"/>
        <w:rPr>
          <w:rFonts w:ascii="Arial" w:eastAsiaTheme="minorEastAsia" w:hAnsi="Arial" w:cs="Arial"/>
          <w:b/>
          <w:bCs/>
          <w:sz w:val="20"/>
          <w:szCs w:val="20"/>
        </w:rPr>
      </w:pPr>
    </w:p>
    <w:p w14:paraId="1A36D3FB" w14:textId="446F10E9" w:rsidR="0018491B" w:rsidRDefault="0018491B" w:rsidP="003F067B">
      <w:pPr>
        <w:spacing w:after="0"/>
        <w:jc w:val="both"/>
        <w:rPr>
          <w:rFonts w:ascii="Arial" w:eastAsiaTheme="minorEastAsia" w:hAnsi="Arial" w:cs="Arial"/>
          <w:sz w:val="20"/>
          <w:szCs w:val="20"/>
        </w:rPr>
      </w:pPr>
    </w:p>
    <w:p w14:paraId="74D0746C" w14:textId="77777777" w:rsidR="0018491B" w:rsidRPr="003F067B" w:rsidRDefault="0018491B" w:rsidP="003F067B">
      <w:pPr>
        <w:spacing w:after="0"/>
        <w:jc w:val="both"/>
        <w:rPr>
          <w:rFonts w:ascii="Arial" w:eastAsiaTheme="minorEastAsia" w:hAnsi="Arial" w:cs="Arial"/>
          <w:sz w:val="20"/>
          <w:szCs w:val="20"/>
        </w:rPr>
      </w:pPr>
    </w:p>
    <w:sectPr w:rsidR="0018491B" w:rsidRPr="003F067B">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B48DC" w14:textId="77777777" w:rsidR="00C22495" w:rsidRDefault="00C22495" w:rsidP="000C38E4">
      <w:pPr>
        <w:spacing w:after="0" w:line="240" w:lineRule="auto"/>
      </w:pPr>
      <w:r>
        <w:separator/>
      </w:r>
    </w:p>
  </w:endnote>
  <w:endnote w:type="continuationSeparator" w:id="0">
    <w:p w14:paraId="6A6171E4" w14:textId="77777777" w:rsidR="00C22495" w:rsidRDefault="00C22495" w:rsidP="000C38E4">
      <w:pPr>
        <w:spacing w:after="0" w:line="240" w:lineRule="auto"/>
      </w:pPr>
      <w:r>
        <w:continuationSeparator/>
      </w:r>
    </w:p>
  </w:endnote>
  <w:endnote w:type="continuationNotice" w:id="1">
    <w:p w14:paraId="3E25E33F" w14:textId="77777777" w:rsidR="00C22495" w:rsidRDefault="00C224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7162B" w14:textId="77777777" w:rsidR="00C22495" w:rsidRDefault="00C22495" w:rsidP="000C38E4">
      <w:pPr>
        <w:spacing w:after="0" w:line="240" w:lineRule="auto"/>
      </w:pPr>
      <w:r>
        <w:separator/>
      </w:r>
    </w:p>
  </w:footnote>
  <w:footnote w:type="continuationSeparator" w:id="0">
    <w:p w14:paraId="47617DAB" w14:textId="77777777" w:rsidR="00C22495" w:rsidRDefault="00C22495" w:rsidP="000C38E4">
      <w:pPr>
        <w:spacing w:after="0" w:line="240" w:lineRule="auto"/>
      </w:pPr>
      <w:r>
        <w:continuationSeparator/>
      </w:r>
    </w:p>
  </w:footnote>
  <w:footnote w:type="continuationNotice" w:id="1">
    <w:p w14:paraId="73B6E2E7" w14:textId="77777777" w:rsidR="00C22495" w:rsidRDefault="00C224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07"/>
      <w:gridCol w:w="4414"/>
      <w:gridCol w:w="2207"/>
    </w:tblGrid>
    <w:tr w:rsidR="000C38E4" w14:paraId="6EF9A086" w14:textId="77777777" w:rsidTr="00F32FAC">
      <w:trPr>
        <w:trHeight w:val="518"/>
        <w:jc w:val="center"/>
      </w:trPr>
      <w:tc>
        <w:tcPr>
          <w:tcW w:w="1250" w:type="pct"/>
          <w:vMerge w:val="restart"/>
          <w:vAlign w:val="center"/>
        </w:tcPr>
        <w:p w14:paraId="2421DAA1" w14:textId="77777777" w:rsidR="000C38E4" w:rsidRDefault="000C38E4" w:rsidP="000C38E4">
          <w:pPr>
            <w:pStyle w:val="Textoindependiente"/>
            <w:spacing w:before="240" w:line="14" w:lineRule="auto"/>
            <w:jc w:val="center"/>
            <w:rPr>
              <w:sz w:val="20"/>
            </w:rPr>
          </w:pPr>
          <w:r>
            <w:rPr>
              <w:noProof/>
            </w:rPr>
            <w:drawing>
              <wp:anchor distT="0" distB="0" distL="114300" distR="114300" simplePos="0" relativeHeight="251658240" behindDoc="0" locked="0" layoutInCell="1" allowOverlap="1" wp14:anchorId="756E855A" wp14:editId="2BFEB3D3">
                <wp:simplePos x="0" y="0"/>
                <wp:positionH relativeFrom="column">
                  <wp:posOffset>96520</wp:posOffset>
                </wp:positionH>
                <wp:positionV relativeFrom="paragraph">
                  <wp:posOffset>160655</wp:posOffset>
                </wp:positionV>
                <wp:extent cx="1158240" cy="579120"/>
                <wp:effectExtent l="0" t="0" r="3810" b="0"/>
                <wp:wrapNone/>
                <wp:docPr id="5" name="Imagen 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58240" cy="579120"/>
                        </a:xfrm>
                        <a:prstGeom prst="rect">
                          <a:avLst/>
                        </a:prstGeom>
                      </pic:spPr>
                    </pic:pic>
                  </a:graphicData>
                </a:graphic>
                <wp14:sizeRelH relativeFrom="margin">
                  <wp14:pctWidth>0</wp14:pctWidth>
                </wp14:sizeRelH>
                <wp14:sizeRelV relativeFrom="margin">
                  <wp14:pctHeight>0</wp14:pctHeight>
                </wp14:sizeRelV>
              </wp:anchor>
            </w:drawing>
          </w:r>
        </w:p>
        <w:p w14:paraId="41CD2AC1" w14:textId="77777777" w:rsidR="000C38E4" w:rsidRDefault="000C38E4" w:rsidP="000C38E4">
          <w:pPr>
            <w:spacing w:before="240"/>
            <w:jc w:val="center"/>
            <w:rPr>
              <w:sz w:val="20"/>
            </w:rPr>
          </w:pPr>
        </w:p>
        <w:p w14:paraId="76EE06E6" w14:textId="77777777" w:rsidR="000C38E4" w:rsidRPr="005A54ED" w:rsidRDefault="000C38E4" w:rsidP="000C38E4">
          <w:pPr>
            <w:spacing w:before="240" w:after="160"/>
            <w:jc w:val="center"/>
          </w:pPr>
        </w:p>
      </w:tc>
      <w:tc>
        <w:tcPr>
          <w:tcW w:w="2500" w:type="pct"/>
          <w:vMerge w:val="restart"/>
          <w:vAlign w:val="center"/>
        </w:tcPr>
        <w:p w14:paraId="248BAF20" w14:textId="0406431B" w:rsidR="000C38E4" w:rsidRPr="00B27809" w:rsidRDefault="000C38E4" w:rsidP="000C38E4">
          <w:pPr>
            <w:pStyle w:val="Textoindependiente"/>
            <w:spacing w:before="240"/>
            <w:jc w:val="center"/>
            <w:rPr>
              <w:rFonts w:ascii="Arial" w:hAnsi="Arial" w:cs="Arial"/>
              <w:b/>
              <w:bCs/>
              <w:sz w:val="20"/>
            </w:rPr>
          </w:pPr>
          <w:r w:rsidRPr="00B27809">
            <w:rPr>
              <w:rFonts w:ascii="Arial" w:hAnsi="Arial" w:cs="Arial"/>
              <w:b/>
              <w:bCs/>
              <w:sz w:val="20"/>
            </w:rPr>
            <w:t xml:space="preserve">LINEAMIENTOS PARA LA </w:t>
          </w:r>
          <w:r>
            <w:rPr>
              <w:rFonts w:ascii="Arial" w:hAnsi="Arial" w:cs="Arial"/>
              <w:b/>
              <w:bCs/>
              <w:sz w:val="20"/>
            </w:rPr>
            <w:t>APLICACIÓN DE METODOLOGÍA TOTEX</w:t>
          </w:r>
        </w:p>
      </w:tc>
      <w:tc>
        <w:tcPr>
          <w:tcW w:w="1250" w:type="pct"/>
          <w:vAlign w:val="center"/>
        </w:tcPr>
        <w:p w14:paraId="1DCA24FC" w14:textId="77777777" w:rsidR="000C38E4" w:rsidRDefault="000C38E4" w:rsidP="000C38E4">
          <w:pPr>
            <w:pStyle w:val="Textoindependiente"/>
            <w:spacing w:before="240" w:line="14" w:lineRule="auto"/>
            <w:jc w:val="center"/>
            <w:rPr>
              <w:sz w:val="20"/>
            </w:rPr>
          </w:pPr>
          <w:r>
            <w:rPr>
              <w:sz w:val="20"/>
            </w:rPr>
            <w:t>Versión 1.0</w:t>
          </w:r>
        </w:p>
      </w:tc>
    </w:tr>
    <w:tr w:rsidR="000C38E4" w14:paraId="7158F542" w14:textId="77777777" w:rsidTr="00F32FAC">
      <w:trPr>
        <w:trHeight w:val="20"/>
        <w:jc w:val="center"/>
      </w:trPr>
      <w:tc>
        <w:tcPr>
          <w:tcW w:w="1250" w:type="pct"/>
          <w:vMerge/>
        </w:tcPr>
        <w:p w14:paraId="799031BB" w14:textId="77777777" w:rsidR="000C38E4" w:rsidRDefault="000C38E4" w:rsidP="000C38E4">
          <w:pPr>
            <w:pStyle w:val="Textoindependiente"/>
            <w:spacing w:before="240" w:line="14" w:lineRule="auto"/>
            <w:rPr>
              <w:sz w:val="20"/>
            </w:rPr>
          </w:pPr>
        </w:p>
      </w:tc>
      <w:tc>
        <w:tcPr>
          <w:tcW w:w="2500" w:type="pct"/>
          <w:vMerge/>
        </w:tcPr>
        <w:p w14:paraId="2BD0D948" w14:textId="77777777" w:rsidR="000C38E4" w:rsidRDefault="000C38E4" w:rsidP="000C38E4">
          <w:pPr>
            <w:pStyle w:val="Textoindependiente"/>
            <w:spacing w:before="240" w:line="14" w:lineRule="auto"/>
            <w:rPr>
              <w:sz w:val="20"/>
            </w:rPr>
          </w:pPr>
        </w:p>
      </w:tc>
      <w:tc>
        <w:tcPr>
          <w:tcW w:w="1250" w:type="pct"/>
        </w:tcPr>
        <w:p w14:paraId="062C6CDC" w14:textId="77777777" w:rsidR="000C38E4" w:rsidRDefault="000C38E4" w:rsidP="000C38E4">
          <w:pPr>
            <w:pStyle w:val="Textoindependiente"/>
            <w:spacing w:before="240" w:line="14" w:lineRule="auto"/>
            <w:rPr>
              <w:sz w:val="20"/>
            </w:rPr>
          </w:pPr>
        </w:p>
      </w:tc>
    </w:tr>
    <w:tr w:rsidR="000C38E4" w14:paraId="07662A39" w14:textId="77777777" w:rsidTr="00F32FAC">
      <w:trPr>
        <w:trHeight w:val="20"/>
        <w:jc w:val="center"/>
      </w:trPr>
      <w:tc>
        <w:tcPr>
          <w:tcW w:w="1250" w:type="pct"/>
        </w:tcPr>
        <w:p w14:paraId="7CC5CDCC" w14:textId="77777777" w:rsidR="000C38E4" w:rsidRDefault="000C38E4" w:rsidP="000C38E4">
          <w:pPr>
            <w:pStyle w:val="Textoindependiente"/>
            <w:spacing w:before="240" w:line="14" w:lineRule="auto"/>
            <w:jc w:val="center"/>
            <w:rPr>
              <w:b/>
              <w:bCs/>
              <w:sz w:val="20"/>
            </w:rPr>
          </w:pPr>
          <w:r w:rsidRPr="00673789">
            <w:rPr>
              <w:sz w:val="20"/>
            </w:rPr>
            <w:t xml:space="preserve">Página </w:t>
          </w:r>
          <w:r w:rsidRPr="00673789">
            <w:rPr>
              <w:b/>
              <w:bCs/>
              <w:sz w:val="20"/>
            </w:rPr>
            <w:fldChar w:fldCharType="begin"/>
          </w:r>
          <w:r w:rsidRPr="00673789">
            <w:rPr>
              <w:b/>
              <w:bCs/>
              <w:sz w:val="20"/>
            </w:rPr>
            <w:instrText>PAGE  \* Arabic  \* MERGEFORMAT</w:instrText>
          </w:r>
          <w:r w:rsidRPr="00673789">
            <w:rPr>
              <w:b/>
              <w:bCs/>
              <w:sz w:val="20"/>
            </w:rPr>
            <w:fldChar w:fldCharType="separate"/>
          </w:r>
          <w:r w:rsidRPr="00673789">
            <w:rPr>
              <w:b/>
              <w:bCs/>
              <w:sz w:val="20"/>
            </w:rPr>
            <w:t>1</w:t>
          </w:r>
          <w:r w:rsidRPr="00673789">
            <w:rPr>
              <w:b/>
              <w:bCs/>
              <w:sz w:val="20"/>
            </w:rPr>
            <w:fldChar w:fldCharType="end"/>
          </w:r>
          <w:r w:rsidRPr="00673789">
            <w:rPr>
              <w:sz w:val="20"/>
            </w:rPr>
            <w:t xml:space="preserve"> de </w:t>
          </w:r>
          <w:r w:rsidRPr="00673789">
            <w:rPr>
              <w:b/>
              <w:bCs/>
              <w:sz w:val="20"/>
            </w:rPr>
            <w:fldChar w:fldCharType="begin"/>
          </w:r>
          <w:r w:rsidRPr="00673789">
            <w:rPr>
              <w:b/>
              <w:bCs/>
              <w:sz w:val="20"/>
            </w:rPr>
            <w:instrText>NUMPAGES  \* Arabic  \* MERGEFORMAT</w:instrText>
          </w:r>
          <w:r w:rsidRPr="00673789">
            <w:rPr>
              <w:b/>
              <w:bCs/>
              <w:sz w:val="20"/>
            </w:rPr>
            <w:fldChar w:fldCharType="separate"/>
          </w:r>
          <w:r w:rsidRPr="00673789">
            <w:rPr>
              <w:b/>
              <w:bCs/>
              <w:sz w:val="20"/>
            </w:rPr>
            <w:t>2</w:t>
          </w:r>
          <w:r w:rsidRPr="00673789">
            <w:rPr>
              <w:b/>
              <w:bCs/>
              <w:sz w:val="20"/>
            </w:rPr>
            <w:fldChar w:fldCharType="end"/>
          </w:r>
        </w:p>
        <w:p w14:paraId="4B750FCF" w14:textId="77777777" w:rsidR="000C38E4" w:rsidRDefault="000C38E4" w:rsidP="000C38E4">
          <w:pPr>
            <w:pStyle w:val="Textoindependiente"/>
            <w:spacing w:before="240" w:line="14" w:lineRule="auto"/>
            <w:jc w:val="center"/>
            <w:rPr>
              <w:sz w:val="20"/>
            </w:rPr>
          </w:pPr>
        </w:p>
      </w:tc>
      <w:tc>
        <w:tcPr>
          <w:tcW w:w="2500" w:type="pct"/>
          <w:vMerge/>
        </w:tcPr>
        <w:p w14:paraId="64EC460C" w14:textId="77777777" w:rsidR="000C38E4" w:rsidRDefault="000C38E4" w:rsidP="000C38E4">
          <w:pPr>
            <w:pStyle w:val="Textoindependiente"/>
            <w:spacing w:before="240" w:line="14" w:lineRule="auto"/>
            <w:rPr>
              <w:sz w:val="20"/>
            </w:rPr>
          </w:pPr>
        </w:p>
      </w:tc>
      <w:tc>
        <w:tcPr>
          <w:tcW w:w="1250" w:type="pct"/>
          <w:vAlign w:val="center"/>
        </w:tcPr>
        <w:p w14:paraId="57482FFF" w14:textId="038269C8" w:rsidR="000C38E4" w:rsidRDefault="00FF06BF" w:rsidP="000C38E4">
          <w:pPr>
            <w:pStyle w:val="Textoindependiente"/>
            <w:spacing w:before="240" w:line="14" w:lineRule="auto"/>
            <w:jc w:val="center"/>
            <w:rPr>
              <w:sz w:val="20"/>
            </w:rPr>
          </w:pPr>
          <w:r>
            <w:rPr>
              <w:sz w:val="20"/>
            </w:rPr>
            <w:t>abril</w:t>
          </w:r>
          <w:r w:rsidR="000C38E4">
            <w:rPr>
              <w:sz w:val="20"/>
            </w:rPr>
            <w:t xml:space="preserve"> 2023</w:t>
          </w:r>
        </w:p>
      </w:tc>
    </w:tr>
  </w:tbl>
  <w:p w14:paraId="72533C64" w14:textId="77777777" w:rsidR="000C38E4" w:rsidRDefault="000C38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9ED"/>
    <w:multiLevelType w:val="multilevel"/>
    <w:tmpl w:val="87F067B4"/>
    <w:lvl w:ilvl="0">
      <w:start w:val="1"/>
      <w:numFmt w:val="decimal"/>
      <w:lvlText w:val="%1."/>
      <w:lvlJc w:val="left"/>
      <w:pPr>
        <w:ind w:left="1068" w:hanging="360"/>
      </w:pPr>
      <w:rPr>
        <w:b/>
        <w:bCs/>
      </w:rPr>
    </w:lvl>
    <w:lvl w:ilvl="1">
      <w:start w:val="1"/>
      <w:numFmt w:val="decimal"/>
      <w:lvlText w:val="%1.%2."/>
      <w:lvlJc w:val="left"/>
      <w:pPr>
        <w:ind w:left="1500" w:hanging="432"/>
      </w:pPr>
      <w:rPr>
        <w:b/>
        <w:bCs/>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4D6785C"/>
    <w:multiLevelType w:val="multilevel"/>
    <w:tmpl w:val="87F067B4"/>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788817"/>
    <w:multiLevelType w:val="multilevel"/>
    <w:tmpl w:val="382EA7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1113B1F"/>
    <w:multiLevelType w:val="multilevel"/>
    <w:tmpl w:val="87F067B4"/>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088086"/>
    <w:multiLevelType w:val="hybridMultilevel"/>
    <w:tmpl w:val="90BAA37E"/>
    <w:lvl w:ilvl="0" w:tplc="838E57F4">
      <w:start w:val="1"/>
      <w:numFmt w:val="decimal"/>
      <w:lvlText w:val="%1."/>
      <w:lvlJc w:val="left"/>
      <w:pPr>
        <w:ind w:left="720" w:hanging="360"/>
      </w:pPr>
    </w:lvl>
    <w:lvl w:ilvl="1" w:tplc="8EDE4C70">
      <w:start w:val="1"/>
      <w:numFmt w:val="decimal"/>
      <w:lvlText w:val="%2."/>
      <w:lvlJc w:val="left"/>
      <w:pPr>
        <w:ind w:left="1440" w:hanging="360"/>
      </w:pPr>
    </w:lvl>
    <w:lvl w:ilvl="2" w:tplc="C4B008A6">
      <w:start w:val="1"/>
      <w:numFmt w:val="lowerRoman"/>
      <w:lvlText w:val="%3."/>
      <w:lvlJc w:val="right"/>
      <w:pPr>
        <w:ind w:left="2160" w:hanging="180"/>
      </w:pPr>
    </w:lvl>
    <w:lvl w:ilvl="3" w:tplc="03820B32">
      <w:start w:val="1"/>
      <w:numFmt w:val="decimal"/>
      <w:lvlText w:val="%4."/>
      <w:lvlJc w:val="left"/>
      <w:pPr>
        <w:ind w:left="2880" w:hanging="360"/>
      </w:pPr>
    </w:lvl>
    <w:lvl w:ilvl="4" w:tplc="BF709EC8">
      <w:start w:val="1"/>
      <w:numFmt w:val="lowerLetter"/>
      <w:lvlText w:val="%5."/>
      <w:lvlJc w:val="left"/>
      <w:pPr>
        <w:ind w:left="3600" w:hanging="360"/>
      </w:pPr>
    </w:lvl>
    <w:lvl w:ilvl="5" w:tplc="E984F972">
      <w:start w:val="1"/>
      <w:numFmt w:val="lowerRoman"/>
      <w:lvlText w:val="%6."/>
      <w:lvlJc w:val="right"/>
      <w:pPr>
        <w:ind w:left="4320" w:hanging="180"/>
      </w:pPr>
    </w:lvl>
    <w:lvl w:ilvl="6" w:tplc="3AF8A620">
      <w:start w:val="1"/>
      <w:numFmt w:val="decimal"/>
      <w:lvlText w:val="%7."/>
      <w:lvlJc w:val="left"/>
      <w:pPr>
        <w:ind w:left="5040" w:hanging="360"/>
      </w:pPr>
    </w:lvl>
    <w:lvl w:ilvl="7" w:tplc="AB58ED78">
      <w:start w:val="1"/>
      <w:numFmt w:val="lowerLetter"/>
      <w:lvlText w:val="%8."/>
      <w:lvlJc w:val="left"/>
      <w:pPr>
        <w:ind w:left="5760" w:hanging="360"/>
      </w:pPr>
    </w:lvl>
    <w:lvl w:ilvl="8" w:tplc="C8AC1BC4">
      <w:start w:val="1"/>
      <w:numFmt w:val="lowerRoman"/>
      <w:lvlText w:val="%9."/>
      <w:lvlJc w:val="right"/>
      <w:pPr>
        <w:ind w:left="6480" w:hanging="180"/>
      </w:pPr>
    </w:lvl>
  </w:abstractNum>
  <w:abstractNum w:abstractNumId="5" w15:restartNumberingAfterBreak="0">
    <w:nsid w:val="493043D9"/>
    <w:multiLevelType w:val="hybridMultilevel"/>
    <w:tmpl w:val="FD7AD4AC"/>
    <w:lvl w:ilvl="0" w:tplc="783E3D44">
      <w:start w:val="1"/>
      <w:numFmt w:val="decimal"/>
      <w:lvlText w:val="%1."/>
      <w:lvlJc w:val="left"/>
      <w:pPr>
        <w:ind w:left="720" w:hanging="360"/>
      </w:pPr>
    </w:lvl>
    <w:lvl w:ilvl="1" w:tplc="B1E2D85A">
      <w:start w:val="1"/>
      <w:numFmt w:val="lowerLetter"/>
      <w:lvlText w:val="%2."/>
      <w:lvlJc w:val="left"/>
      <w:pPr>
        <w:ind w:left="1440" w:hanging="360"/>
      </w:pPr>
    </w:lvl>
    <w:lvl w:ilvl="2" w:tplc="6F245196">
      <w:start w:val="1"/>
      <w:numFmt w:val="lowerRoman"/>
      <w:lvlText w:val="%3."/>
      <w:lvlJc w:val="right"/>
      <w:pPr>
        <w:ind w:left="2160" w:hanging="180"/>
      </w:pPr>
    </w:lvl>
    <w:lvl w:ilvl="3" w:tplc="6054D698">
      <w:start w:val="1"/>
      <w:numFmt w:val="decimal"/>
      <w:lvlText w:val="%4."/>
      <w:lvlJc w:val="left"/>
      <w:pPr>
        <w:ind w:left="2880" w:hanging="360"/>
      </w:pPr>
    </w:lvl>
    <w:lvl w:ilvl="4" w:tplc="FBE04DC2">
      <w:start w:val="1"/>
      <w:numFmt w:val="lowerLetter"/>
      <w:lvlText w:val="%5."/>
      <w:lvlJc w:val="left"/>
      <w:pPr>
        <w:ind w:left="3600" w:hanging="360"/>
      </w:pPr>
    </w:lvl>
    <w:lvl w:ilvl="5" w:tplc="97E256EA">
      <w:start w:val="1"/>
      <w:numFmt w:val="lowerRoman"/>
      <w:lvlText w:val="%6."/>
      <w:lvlJc w:val="right"/>
      <w:pPr>
        <w:ind w:left="4320" w:hanging="180"/>
      </w:pPr>
    </w:lvl>
    <w:lvl w:ilvl="6" w:tplc="E1E495D2">
      <w:start w:val="1"/>
      <w:numFmt w:val="decimal"/>
      <w:lvlText w:val="%7."/>
      <w:lvlJc w:val="left"/>
      <w:pPr>
        <w:ind w:left="5040" w:hanging="360"/>
      </w:pPr>
    </w:lvl>
    <w:lvl w:ilvl="7" w:tplc="08947826">
      <w:start w:val="1"/>
      <w:numFmt w:val="lowerLetter"/>
      <w:lvlText w:val="%8."/>
      <w:lvlJc w:val="left"/>
      <w:pPr>
        <w:ind w:left="5760" w:hanging="360"/>
      </w:pPr>
    </w:lvl>
    <w:lvl w:ilvl="8" w:tplc="BFA6E1EC">
      <w:start w:val="1"/>
      <w:numFmt w:val="lowerRoman"/>
      <w:lvlText w:val="%9."/>
      <w:lvlJc w:val="right"/>
      <w:pPr>
        <w:ind w:left="6480" w:hanging="180"/>
      </w:pPr>
    </w:lvl>
  </w:abstractNum>
  <w:abstractNum w:abstractNumId="6" w15:restartNumberingAfterBreak="0">
    <w:nsid w:val="4AD3466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E92B82"/>
    <w:multiLevelType w:val="hybridMultilevel"/>
    <w:tmpl w:val="A37EA3F0"/>
    <w:lvl w:ilvl="0" w:tplc="D590998C">
      <w:numFmt w:val="bullet"/>
      <w:lvlText w:val="•"/>
      <w:lvlJc w:val="left"/>
      <w:pPr>
        <w:ind w:left="720" w:hanging="360"/>
      </w:pPr>
      <w:rPr>
        <w:rFonts w:hint="default"/>
        <w:lang w:val="es-ES" w:eastAsia="en-US" w:bidi="ar-SA"/>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2C44ECB"/>
    <w:multiLevelType w:val="multilevel"/>
    <w:tmpl w:val="87F067B4"/>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1A39D4"/>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C5A91C"/>
    <w:multiLevelType w:val="hybridMultilevel"/>
    <w:tmpl w:val="EA96186E"/>
    <w:lvl w:ilvl="0" w:tplc="BB4E3A08">
      <w:start w:val="1"/>
      <w:numFmt w:val="decimal"/>
      <w:lvlText w:val="%1."/>
      <w:lvlJc w:val="left"/>
      <w:pPr>
        <w:ind w:left="720" w:hanging="360"/>
      </w:pPr>
    </w:lvl>
    <w:lvl w:ilvl="1" w:tplc="B298F988">
      <w:start w:val="1"/>
      <w:numFmt w:val="lowerLetter"/>
      <w:lvlText w:val="%2."/>
      <w:lvlJc w:val="left"/>
      <w:pPr>
        <w:ind w:left="1440" w:hanging="360"/>
      </w:pPr>
    </w:lvl>
    <w:lvl w:ilvl="2" w:tplc="5D945468">
      <w:start w:val="1"/>
      <w:numFmt w:val="lowerRoman"/>
      <w:lvlText w:val="%3."/>
      <w:lvlJc w:val="right"/>
      <w:pPr>
        <w:ind w:left="2160" w:hanging="180"/>
      </w:pPr>
    </w:lvl>
    <w:lvl w:ilvl="3" w:tplc="7BA0480E">
      <w:start w:val="1"/>
      <w:numFmt w:val="decimal"/>
      <w:lvlText w:val="%4."/>
      <w:lvlJc w:val="left"/>
      <w:pPr>
        <w:ind w:left="2880" w:hanging="360"/>
      </w:pPr>
    </w:lvl>
    <w:lvl w:ilvl="4" w:tplc="C658AE5C">
      <w:start w:val="1"/>
      <w:numFmt w:val="lowerLetter"/>
      <w:lvlText w:val="%5."/>
      <w:lvlJc w:val="left"/>
      <w:pPr>
        <w:ind w:left="3600" w:hanging="360"/>
      </w:pPr>
    </w:lvl>
    <w:lvl w:ilvl="5" w:tplc="8F7278FA">
      <w:start w:val="1"/>
      <w:numFmt w:val="lowerRoman"/>
      <w:lvlText w:val="%6."/>
      <w:lvlJc w:val="right"/>
      <w:pPr>
        <w:ind w:left="4320" w:hanging="180"/>
      </w:pPr>
    </w:lvl>
    <w:lvl w:ilvl="6" w:tplc="A240FED4">
      <w:start w:val="1"/>
      <w:numFmt w:val="decimal"/>
      <w:lvlText w:val="%7."/>
      <w:lvlJc w:val="left"/>
      <w:pPr>
        <w:ind w:left="5040" w:hanging="360"/>
      </w:pPr>
    </w:lvl>
    <w:lvl w:ilvl="7" w:tplc="C9A8E0B4">
      <w:start w:val="1"/>
      <w:numFmt w:val="lowerLetter"/>
      <w:lvlText w:val="%8."/>
      <w:lvlJc w:val="left"/>
      <w:pPr>
        <w:ind w:left="5760" w:hanging="360"/>
      </w:pPr>
    </w:lvl>
    <w:lvl w:ilvl="8" w:tplc="F3ACBC4A">
      <w:start w:val="1"/>
      <w:numFmt w:val="lowerRoman"/>
      <w:lvlText w:val="%9."/>
      <w:lvlJc w:val="right"/>
      <w:pPr>
        <w:ind w:left="6480" w:hanging="180"/>
      </w:pPr>
    </w:lvl>
  </w:abstractNum>
  <w:abstractNum w:abstractNumId="11" w15:restartNumberingAfterBreak="0">
    <w:nsid w:val="6D6D2DB5"/>
    <w:multiLevelType w:val="hybridMultilevel"/>
    <w:tmpl w:val="8FA411D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77DA4938"/>
    <w:multiLevelType w:val="hybridMultilevel"/>
    <w:tmpl w:val="64A0C952"/>
    <w:lvl w:ilvl="0" w:tplc="89A02076">
      <w:start w:val="1"/>
      <w:numFmt w:val="decimal"/>
      <w:lvlText w:val="%1."/>
      <w:lvlJc w:val="left"/>
      <w:pPr>
        <w:ind w:left="720" w:hanging="360"/>
      </w:pPr>
      <w:rPr>
        <w:b/>
        <w:bCs/>
      </w:rPr>
    </w:lvl>
    <w:lvl w:ilvl="1" w:tplc="3A8C9D62">
      <w:start w:val="1"/>
      <w:numFmt w:val="decimal"/>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B5B2E0D"/>
    <w:multiLevelType w:val="hybridMultilevel"/>
    <w:tmpl w:val="C21AFEEE"/>
    <w:lvl w:ilvl="0" w:tplc="D590998C">
      <w:numFmt w:val="bullet"/>
      <w:lvlText w:val="•"/>
      <w:lvlJc w:val="left"/>
      <w:pPr>
        <w:ind w:left="720" w:hanging="360"/>
      </w:pPr>
      <w:rPr>
        <w:rFonts w:hint="default"/>
        <w:lang w:val="es-ES" w:eastAsia="en-US" w:bidi="ar-SA"/>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30641637">
    <w:abstractNumId w:val="13"/>
  </w:num>
  <w:num w:numId="2" w16cid:durableId="1131364125">
    <w:abstractNumId w:val="12"/>
  </w:num>
  <w:num w:numId="3" w16cid:durableId="172649588">
    <w:abstractNumId w:val="11"/>
  </w:num>
  <w:num w:numId="4" w16cid:durableId="599799496">
    <w:abstractNumId w:val="6"/>
  </w:num>
  <w:num w:numId="5" w16cid:durableId="407776498">
    <w:abstractNumId w:val="9"/>
  </w:num>
  <w:num w:numId="6" w16cid:durableId="2099784805">
    <w:abstractNumId w:val="8"/>
  </w:num>
  <w:num w:numId="7" w16cid:durableId="304743842">
    <w:abstractNumId w:val="7"/>
  </w:num>
  <w:num w:numId="8" w16cid:durableId="1345280132">
    <w:abstractNumId w:val="0"/>
  </w:num>
  <w:num w:numId="9" w16cid:durableId="911424225">
    <w:abstractNumId w:val="1"/>
  </w:num>
  <w:num w:numId="10" w16cid:durableId="1841851112">
    <w:abstractNumId w:val="3"/>
  </w:num>
  <w:num w:numId="11" w16cid:durableId="1096756029">
    <w:abstractNumId w:val="2"/>
  </w:num>
  <w:num w:numId="12" w16cid:durableId="257372271">
    <w:abstractNumId w:val="10"/>
  </w:num>
  <w:num w:numId="13" w16cid:durableId="1584949595">
    <w:abstractNumId w:val="5"/>
  </w:num>
  <w:num w:numId="14" w16cid:durableId="5881523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76"/>
    <w:rsid w:val="00034C2B"/>
    <w:rsid w:val="00066787"/>
    <w:rsid w:val="00074628"/>
    <w:rsid w:val="0008626D"/>
    <w:rsid w:val="000C38E4"/>
    <w:rsid w:val="000C6AA6"/>
    <w:rsid w:val="000E197F"/>
    <w:rsid w:val="000F43DE"/>
    <w:rsid w:val="00105D28"/>
    <w:rsid w:val="00151D8B"/>
    <w:rsid w:val="00156DE3"/>
    <w:rsid w:val="00157469"/>
    <w:rsid w:val="0016670F"/>
    <w:rsid w:val="00170C6E"/>
    <w:rsid w:val="00175C54"/>
    <w:rsid w:val="00176E01"/>
    <w:rsid w:val="00181284"/>
    <w:rsid w:val="00182354"/>
    <w:rsid w:val="0018491B"/>
    <w:rsid w:val="00187B57"/>
    <w:rsid w:val="001D1143"/>
    <w:rsid w:val="001E0E7B"/>
    <w:rsid w:val="0020190A"/>
    <w:rsid w:val="00202260"/>
    <w:rsid w:val="00232448"/>
    <w:rsid w:val="00247351"/>
    <w:rsid w:val="00255FB9"/>
    <w:rsid w:val="00261957"/>
    <w:rsid w:val="00281A92"/>
    <w:rsid w:val="002A5158"/>
    <w:rsid w:val="002B7FE4"/>
    <w:rsid w:val="002C015A"/>
    <w:rsid w:val="002F5669"/>
    <w:rsid w:val="00300BFF"/>
    <w:rsid w:val="0034663B"/>
    <w:rsid w:val="00362EE7"/>
    <w:rsid w:val="00365FD8"/>
    <w:rsid w:val="003717D9"/>
    <w:rsid w:val="003720E5"/>
    <w:rsid w:val="0038121D"/>
    <w:rsid w:val="00383D1B"/>
    <w:rsid w:val="003877EA"/>
    <w:rsid w:val="00397621"/>
    <w:rsid w:val="003A0DD6"/>
    <w:rsid w:val="003B6576"/>
    <w:rsid w:val="003F067B"/>
    <w:rsid w:val="003F5BE7"/>
    <w:rsid w:val="003F632E"/>
    <w:rsid w:val="00413B60"/>
    <w:rsid w:val="00445CAA"/>
    <w:rsid w:val="00451E26"/>
    <w:rsid w:val="004538BD"/>
    <w:rsid w:val="00457C0B"/>
    <w:rsid w:val="004705EC"/>
    <w:rsid w:val="004A72D8"/>
    <w:rsid w:val="004B6258"/>
    <w:rsid w:val="004C743A"/>
    <w:rsid w:val="004E5FE2"/>
    <w:rsid w:val="004F198C"/>
    <w:rsid w:val="005646A3"/>
    <w:rsid w:val="005807E6"/>
    <w:rsid w:val="005A3609"/>
    <w:rsid w:val="00606C92"/>
    <w:rsid w:val="006130EA"/>
    <w:rsid w:val="006144A8"/>
    <w:rsid w:val="00626A72"/>
    <w:rsid w:val="00633ADC"/>
    <w:rsid w:val="00681D69"/>
    <w:rsid w:val="006A3A7B"/>
    <w:rsid w:val="006A738B"/>
    <w:rsid w:val="006B0F9C"/>
    <w:rsid w:val="006F2722"/>
    <w:rsid w:val="00711FE2"/>
    <w:rsid w:val="0072399B"/>
    <w:rsid w:val="00750113"/>
    <w:rsid w:val="00753BCD"/>
    <w:rsid w:val="00773230"/>
    <w:rsid w:val="0078639E"/>
    <w:rsid w:val="007A1C68"/>
    <w:rsid w:val="007B562F"/>
    <w:rsid w:val="007C127B"/>
    <w:rsid w:val="007C57C8"/>
    <w:rsid w:val="007E2113"/>
    <w:rsid w:val="007E257E"/>
    <w:rsid w:val="00804D76"/>
    <w:rsid w:val="008122B2"/>
    <w:rsid w:val="008466CE"/>
    <w:rsid w:val="008522CE"/>
    <w:rsid w:val="008B037B"/>
    <w:rsid w:val="008C1394"/>
    <w:rsid w:val="008E312C"/>
    <w:rsid w:val="008F4EC4"/>
    <w:rsid w:val="009237AB"/>
    <w:rsid w:val="00925519"/>
    <w:rsid w:val="00953BC7"/>
    <w:rsid w:val="0095699C"/>
    <w:rsid w:val="009634B5"/>
    <w:rsid w:val="009C06F8"/>
    <w:rsid w:val="009E607E"/>
    <w:rsid w:val="009F6958"/>
    <w:rsid w:val="00A162B8"/>
    <w:rsid w:val="00A16458"/>
    <w:rsid w:val="00A255FF"/>
    <w:rsid w:val="00A44BB4"/>
    <w:rsid w:val="00A560C7"/>
    <w:rsid w:val="00A61EA6"/>
    <w:rsid w:val="00A84E2F"/>
    <w:rsid w:val="00A970FE"/>
    <w:rsid w:val="00AC6D51"/>
    <w:rsid w:val="00AD25F4"/>
    <w:rsid w:val="00B12F44"/>
    <w:rsid w:val="00B91060"/>
    <w:rsid w:val="00B93239"/>
    <w:rsid w:val="00BA0295"/>
    <w:rsid w:val="00BA70A2"/>
    <w:rsid w:val="00BB4115"/>
    <w:rsid w:val="00BF03CE"/>
    <w:rsid w:val="00BF3806"/>
    <w:rsid w:val="00C15E32"/>
    <w:rsid w:val="00C22495"/>
    <w:rsid w:val="00C40EF7"/>
    <w:rsid w:val="00C4194E"/>
    <w:rsid w:val="00C61038"/>
    <w:rsid w:val="00C66D8F"/>
    <w:rsid w:val="00C75D05"/>
    <w:rsid w:val="00C930D7"/>
    <w:rsid w:val="00C963B4"/>
    <w:rsid w:val="00CA0DDD"/>
    <w:rsid w:val="00CA263E"/>
    <w:rsid w:val="00CD6BE6"/>
    <w:rsid w:val="00CE0C66"/>
    <w:rsid w:val="00CF4008"/>
    <w:rsid w:val="00D07032"/>
    <w:rsid w:val="00D1720E"/>
    <w:rsid w:val="00D35935"/>
    <w:rsid w:val="00D4707E"/>
    <w:rsid w:val="00D603A5"/>
    <w:rsid w:val="00D711F9"/>
    <w:rsid w:val="00D83B2C"/>
    <w:rsid w:val="00DE0E8A"/>
    <w:rsid w:val="00DF79DF"/>
    <w:rsid w:val="00E27DC7"/>
    <w:rsid w:val="00E67653"/>
    <w:rsid w:val="00EB4438"/>
    <w:rsid w:val="00EC5BF6"/>
    <w:rsid w:val="00ED5F81"/>
    <w:rsid w:val="00EE0188"/>
    <w:rsid w:val="00EF64AB"/>
    <w:rsid w:val="00F1179E"/>
    <w:rsid w:val="00F21847"/>
    <w:rsid w:val="00F47D95"/>
    <w:rsid w:val="00F5572D"/>
    <w:rsid w:val="00F647E4"/>
    <w:rsid w:val="00FA1392"/>
    <w:rsid w:val="00FD26C7"/>
    <w:rsid w:val="00FD60C3"/>
    <w:rsid w:val="00FF06BF"/>
    <w:rsid w:val="04877B4C"/>
    <w:rsid w:val="095AEC6F"/>
    <w:rsid w:val="0FB8F31C"/>
    <w:rsid w:val="12F093DE"/>
    <w:rsid w:val="17C40501"/>
    <w:rsid w:val="195FD562"/>
    <w:rsid w:val="1FE83F43"/>
    <w:rsid w:val="263E586A"/>
    <w:rsid w:val="29B9C12B"/>
    <w:rsid w:val="2B19B713"/>
    <w:rsid w:val="331CDB72"/>
    <w:rsid w:val="383F1A27"/>
    <w:rsid w:val="38CAE72B"/>
    <w:rsid w:val="3A66B78C"/>
    <w:rsid w:val="3C0A7573"/>
    <w:rsid w:val="3E906EB5"/>
    <w:rsid w:val="3F421635"/>
    <w:rsid w:val="457B373B"/>
    <w:rsid w:val="45A96A33"/>
    <w:rsid w:val="4A84C8DC"/>
    <w:rsid w:val="56B350F0"/>
    <w:rsid w:val="56BB3E76"/>
    <w:rsid w:val="584F2151"/>
    <w:rsid w:val="5B75873C"/>
    <w:rsid w:val="6399C17E"/>
    <w:rsid w:val="64176BB8"/>
    <w:rsid w:val="6A090302"/>
    <w:rsid w:val="6C66459C"/>
    <w:rsid w:val="79A1B9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EF37"/>
  <w15:chartTrackingRefBased/>
  <w15:docId w15:val="{05EF0096-DF31-4144-9D7A-2679F223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6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38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38E4"/>
  </w:style>
  <w:style w:type="paragraph" w:styleId="Piedepgina">
    <w:name w:val="footer"/>
    <w:basedOn w:val="Normal"/>
    <w:link w:val="PiedepginaCar"/>
    <w:uiPriority w:val="99"/>
    <w:unhideWhenUsed/>
    <w:rsid w:val="000C38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38E4"/>
  </w:style>
  <w:style w:type="paragraph" w:styleId="Textoindependiente">
    <w:name w:val="Body Text"/>
    <w:basedOn w:val="Normal"/>
    <w:link w:val="TextoindependienteCar"/>
    <w:uiPriority w:val="1"/>
    <w:qFormat/>
    <w:rsid w:val="000C38E4"/>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0C38E4"/>
    <w:rPr>
      <w:rFonts w:ascii="Calibri" w:eastAsia="Calibri" w:hAnsi="Calibri" w:cs="Calibri"/>
      <w:lang w:val="es-ES"/>
    </w:rPr>
  </w:style>
  <w:style w:type="table" w:styleId="Tablaconcuadrcula">
    <w:name w:val="Table Grid"/>
    <w:basedOn w:val="Tablanormal"/>
    <w:uiPriority w:val="39"/>
    <w:rsid w:val="000C38E4"/>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0188"/>
    <w:pPr>
      <w:ind w:left="720"/>
      <w:contextualSpacing/>
    </w:pPr>
  </w:style>
  <w:style w:type="character" w:styleId="Textodelmarcadordeposicin">
    <w:name w:val="Placeholder Text"/>
    <w:basedOn w:val="Fuentedeprrafopredeter"/>
    <w:uiPriority w:val="99"/>
    <w:semiHidden/>
    <w:rsid w:val="000E197F"/>
    <w:rPr>
      <w:color w:val="808080"/>
    </w:rPr>
  </w:style>
  <w:style w:type="paragraph" w:styleId="Revisin">
    <w:name w:val="Revision"/>
    <w:hidden/>
    <w:uiPriority w:val="99"/>
    <w:semiHidden/>
    <w:rsid w:val="00F47D95"/>
    <w:pPr>
      <w:spacing w:after="0" w:line="240" w:lineRule="auto"/>
    </w:pPr>
  </w:style>
  <w:style w:type="character" w:customStyle="1" w:styleId="Ttulo1Car">
    <w:name w:val="Título 1 Car"/>
    <w:basedOn w:val="Fuentedeprrafopredeter"/>
    <w:link w:val="Ttulo1"/>
    <w:uiPriority w:val="9"/>
    <w:rsid w:val="0008626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8626D"/>
    <w:pPr>
      <w:outlineLvl w:val="9"/>
    </w:pPr>
    <w:rPr>
      <w:lang w:eastAsia="es-CL"/>
    </w:rPr>
  </w:style>
  <w:style w:type="paragraph" w:styleId="TDC1">
    <w:name w:val="toc 1"/>
    <w:basedOn w:val="Normal"/>
    <w:next w:val="Normal"/>
    <w:autoRedefine/>
    <w:uiPriority w:val="39"/>
    <w:unhideWhenUsed/>
    <w:rsid w:val="0008626D"/>
    <w:pPr>
      <w:spacing w:after="100"/>
    </w:pPr>
  </w:style>
  <w:style w:type="character" w:styleId="Hipervnculo">
    <w:name w:val="Hyperlink"/>
    <w:basedOn w:val="Fuentedeprrafopredeter"/>
    <w:uiPriority w:val="99"/>
    <w:unhideWhenUsed/>
    <w:rsid w:val="0008626D"/>
    <w:rPr>
      <w:color w:val="0563C1" w:themeColor="hyperlink"/>
      <w:u w:val="single"/>
    </w:rPr>
  </w:style>
  <w:style w:type="paragraph" w:styleId="TDC2">
    <w:name w:val="toc 2"/>
    <w:basedOn w:val="Normal"/>
    <w:next w:val="Normal"/>
    <w:autoRedefine/>
    <w:uiPriority w:val="39"/>
    <w:unhideWhenUsed/>
    <w:rsid w:val="000862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FA84135F1BA4846B2BA8B673F5F03F2" ma:contentTypeVersion="12" ma:contentTypeDescription="Crear nuevo documento." ma:contentTypeScope="" ma:versionID="98acbb70387ea8e90c3f2f3ef0322dea">
  <xsd:schema xmlns:xsd="http://www.w3.org/2001/XMLSchema" xmlns:xs="http://www.w3.org/2001/XMLSchema" xmlns:p="http://schemas.microsoft.com/office/2006/metadata/properties" xmlns:ns2="cabdba33-9fbc-49b1-a53d-ebeb133794f9" xmlns:ns3="22cfb4cb-cc47-45cd-8e01-11a0106fba21" targetNamespace="http://schemas.microsoft.com/office/2006/metadata/properties" ma:root="true" ma:fieldsID="4ad996e14c5b8a5d9aa1d989f12445e6" ns2:_="" ns3:_="">
    <xsd:import namespace="cabdba33-9fbc-49b1-a53d-ebeb133794f9"/>
    <xsd:import namespace="22cfb4cb-cc47-45cd-8e01-11a0106fba2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bdba33-9fbc-49b1-a53d-ebeb133794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74ade5ec-1dc6-4b12-84e9-18d8060fcf9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cfb4cb-cc47-45cd-8e01-11a0106fba2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34afc02-066e-4c1b-beb1-d77f417a51b8}" ma:internalName="TaxCatchAll" ma:showField="CatchAllData" ma:web="22cfb4cb-cc47-45cd-8e01-11a0106fba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2cfb4cb-cc47-45cd-8e01-11a0106fba21" xsi:nil="true"/>
    <lcf76f155ced4ddcb4097134ff3c332f xmlns="cabdba33-9fbc-49b1-a53d-ebeb133794f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73714A2-3CD6-4911-83CA-9D34CDB6BA12}">
  <ds:schemaRefs>
    <ds:schemaRef ds:uri="http://schemas.microsoft.com/sharepoint/v3/contenttype/forms"/>
  </ds:schemaRefs>
</ds:datastoreItem>
</file>

<file path=customXml/itemProps2.xml><?xml version="1.0" encoding="utf-8"?>
<ds:datastoreItem xmlns:ds="http://schemas.openxmlformats.org/officeDocument/2006/customXml" ds:itemID="{8C7F1977-FC6C-4786-917E-9A32B5BEC3C2}"/>
</file>

<file path=customXml/itemProps3.xml><?xml version="1.0" encoding="utf-8"?>
<ds:datastoreItem xmlns:ds="http://schemas.openxmlformats.org/officeDocument/2006/customXml" ds:itemID="{971551FE-C94E-40B1-8104-FE18C6D023BC}">
  <ds:schemaRefs>
    <ds:schemaRef ds:uri="http://schemas.openxmlformats.org/officeDocument/2006/bibliography"/>
  </ds:schemaRefs>
</ds:datastoreItem>
</file>

<file path=customXml/itemProps4.xml><?xml version="1.0" encoding="utf-8"?>
<ds:datastoreItem xmlns:ds="http://schemas.openxmlformats.org/officeDocument/2006/customXml" ds:itemID="{0E986268-9D56-4640-B248-5FD54639F109}">
  <ds:schemaRefs>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schemas.microsoft.com/office/infopath/2007/PartnerControls"/>
    <ds:schemaRef ds:uri="http://purl.org/dc/terms/"/>
    <ds:schemaRef ds:uri="6c220688-e1e4-4b85-8d28-8de30a08eda7"/>
    <ds:schemaRef ds:uri="http://www.w3.org/XML/1998/namespace"/>
    <ds:schemaRef ds:uri="afad03cd-b69e-4d80-a086-5131a0afe20b"/>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1939</Words>
  <Characters>10667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CANTILLANA ARRIAGADA</dc:creator>
  <cp:keywords/>
  <dc:description/>
  <cp:lastModifiedBy>RICARDO CANTILLANA ARRIAGADA</cp:lastModifiedBy>
  <cp:revision>151</cp:revision>
  <dcterms:created xsi:type="dcterms:W3CDTF">2023-03-24T13:18:00Z</dcterms:created>
  <dcterms:modified xsi:type="dcterms:W3CDTF">2023-04-13T15:29:00Z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0x0101005FA84135F1BA4846B2BA8B673F5F03F2</vt:lpwstr>
  </property>
  <property fmtid="{D5CDD505-2E9C-101B-9397-08002B2CF9AE}" pid="3" name="MediaServiceImageTags">
    <vt:lpwstr/>
  </property>
  <property fmtid="{D5CDD505-2E9C-101B-9397-08002B2CF9AE}" pid="4" name="Order">
    <vt:r8>141300</vt:r8>
  </property>
  <property fmtid="{D5CDD505-2E9C-101B-9397-08002B2CF9AE}" pid="5" name="_ExtendedDescription">
    <vt:lpwstr/>
  </property>
</Properties>
</file>