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80"/>
      </w:pPr>
      <w:r>
        <w:rPr>
          <w:rFonts w:ascii="Calibri" w:hAnsi="Calibri"/>
          <w:b/>
          <w:i w:val="0"/>
          <w:color w:val="1F2937"/>
          <w:sz w:val="46"/>
        </w:rPr>
        <w:t>PLAN TÉCNICO</w:t>
      </w:r>
    </w:p>
    <w:p>
      <w:pPr>
        <w:spacing w:after="320"/>
      </w:pPr>
      <w:r>
        <w:rPr>
          <w:rFonts w:ascii="Calibri" w:hAnsi="Calibri"/>
          <w:b w:val="0"/>
          <w:i w:val="0"/>
          <w:color w:val="5A6574"/>
          <w:sz w:val="28"/>
        </w:rPr>
        <w:t>Gateway SMTP con IP fija para Pixit</w:t>
      </w:r>
    </w:p>
    <w:p>
      <w:pPr>
        <w:spacing w:after="40"/>
      </w:pPr>
      <w:r>
        <w:rPr>
          <w:rFonts w:ascii="Calibri" w:hAnsi="Calibri"/>
          <w:b/>
          <w:i w:val="0"/>
          <w:color w:val="1F2937"/>
          <w:sz w:val="22"/>
        </w:rPr>
        <w:t xml:space="preserve">Para: </w:t>
      </w:r>
      <w:r>
        <w:rPr>
          <w:rFonts w:ascii="Calibri" w:hAnsi="Calibri"/>
          <w:b w:val="0"/>
          <w:i w:val="0"/>
          <w:color w:val="1F2937"/>
          <w:sz w:val="22"/>
        </w:rPr>
        <w:t>Programador / equipo técnico de Pixit</w:t>
      </w:r>
    </w:p>
    <w:p>
      <w:pPr>
        <w:spacing w:after="40"/>
      </w:pPr>
      <w:r>
        <w:rPr>
          <w:rFonts w:ascii="Calibri" w:hAnsi="Calibri"/>
          <w:b/>
          <w:i w:val="0"/>
          <w:color w:val="1F2937"/>
          <w:sz w:val="22"/>
        </w:rPr>
        <w:t xml:space="preserve">Fecha: </w:t>
      </w:r>
      <w:r>
        <w:rPr>
          <w:rFonts w:ascii="Calibri" w:hAnsi="Calibri"/>
          <w:b w:val="0"/>
          <w:i w:val="0"/>
          <w:color w:val="1F2937"/>
          <w:sz w:val="22"/>
        </w:rPr>
        <w:t>13 de agosto de 2026</w:t>
      </w:r>
    </w:p>
    <w:p>
      <w:pPr>
        <w:spacing w:after="40"/>
      </w:pPr>
      <w:r>
        <w:rPr>
          <w:rFonts w:ascii="Calibri" w:hAnsi="Calibri"/>
          <w:b/>
          <w:i w:val="0"/>
          <w:color w:val="1F2937"/>
          <w:sz w:val="22"/>
        </w:rPr>
        <w:t xml:space="preserve">Objetivo: </w:t>
      </w:r>
      <w:r>
        <w:rPr>
          <w:rFonts w:ascii="Calibri" w:hAnsi="Calibri"/>
          <w:b w:val="0"/>
          <w:i w:val="0"/>
          <w:color w:val="1F2937"/>
          <w:sz w:val="22"/>
        </w:rPr>
        <w:t>Enviar correos desde la cuenta SMTP de cada cliente sin exigir verificación de dominio en Pixit.</w:t>
      </w:r>
    </w:p>
    <w:p>
      <w:pPr>
        <w:spacing w:after="40"/>
      </w:pPr>
      <w:r>
        <w:rPr>
          <w:rFonts w:ascii="Calibri" w:hAnsi="Calibri"/>
          <w:b/>
          <w:i w:val="0"/>
          <w:color w:val="1F2937"/>
          <w:sz w:val="22"/>
        </w:rPr>
        <w:t xml:space="preserve">Estado: </w:t>
      </w:r>
      <w:r>
        <w:rPr>
          <w:rFonts w:ascii="Calibri" w:hAnsi="Calibri"/>
          <w:b w:val="0"/>
          <w:i w:val="0"/>
          <w:color w:val="1F2937"/>
          <w:sz w:val="22"/>
        </w:rPr>
        <w:t>Diseño e integración preparados localmente; infraestructura y despliegue pendientes.</w:t>
      </w:r>
    </w:p>
    <w:p>
      <w:pPr>
        <w:spacing w:after="160"/>
        <w:pBdr>
          <w:bottom w:val="single" w:sz="10" w:space="6" w:color="2E74B5"/>
        </w:pBdr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60" w:after="60" w:line="264" w:lineRule="auto"/>
            </w:pPr>
            <w:r>
              <w:rPr>
                <w:rFonts w:ascii="Calibri" w:hAnsi="Calibri"/>
                <w:b/>
                <w:i w:val="0"/>
                <w:color w:val="1F4D78"/>
                <w:sz w:val="22"/>
              </w:rPr>
              <w:t xml:space="preserve">Decisión propuesta: 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>centralizar las conexiones SMTP en un gateway de Pixit alojado en AWS con IPv4 pública fija. El correo seguirá siendo enviado y firmado por el servidor SMTP del cliente; AWS solo aporta un origen de red estable.</w:t>
            </w:r>
          </w:p>
        </w:tc>
      </w:tr>
    </w:tbl>
    <w:p>
      <w:pPr>
        <w:spacing w:after="0"/>
      </w:pPr>
    </w:p>
    <w:p>
      <w:pPr>
        <w:pStyle w:val="Heading1"/>
      </w:pPr>
      <w:r>
        <w:t>1. Problema que estamos resolviendo</w:t>
      </w:r>
    </w:p>
    <w:p>
      <w:r>
        <w:rPr>
          <w:rFonts w:ascii="Calibri" w:hAnsi="Calibri"/>
          <w:b w:val="0"/>
          <w:i w:val="0"/>
          <w:color w:val="1F2937"/>
          <w:sz w:val="22"/>
        </w:rPr>
        <w:t xml:space="preserve">Actualmente, la función de correo de Pixit se ejecuta en Supabase Edge Functions. </w:t>
      </w:r>
      <w:r>
        <w:rPr>
          <w:rFonts w:ascii="Calibri" w:hAnsi="Calibri"/>
          <w:b/>
          <w:i w:val="0"/>
          <w:color w:val="1F2937"/>
          <w:sz w:val="22"/>
        </w:rPr>
        <w:t>Sus conexiones salientes no tienen una IP fija</w:t>
      </w:r>
      <w:r>
        <w:rPr>
          <w:rFonts w:ascii="Calibri" w:hAnsi="Calibri"/>
          <w:b w:val="0"/>
          <w:i w:val="0"/>
          <w:color w:val="1F2937"/>
          <w:sz w:val="22"/>
        </w:rPr>
        <w:t xml:space="preserve">, por lo que ciertos hostings rechazan o bloquean el inicio de sesión SMTP aunque el usuario, la contraseña y el puerto sean correctos. El error visible puede ser </w:t>
      </w:r>
      <w:r>
        <w:rPr>
          <w:rFonts w:ascii="Calibri" w:hAnsi="Calibri"/>
          <w:b/>
          <w:i w:val="0"/>
          <w:color w:val="1F2937"/>
          <w:sz w:val="22"/>
        </w:rPr>
        <w:t>535 Incorrect authentication data</w:t>
      </w:r>
      <w:r>
        <w:rPr>
          <w:rFonts w:ascii="Calibri" w:hAnsi="Calibri"/>
          <w:b w:val="0"/>
          <w:i w:val="0"/>
          <w:color w:val="1F2937"/>
          <w:sz w:val="22"/>
        </w:rPr>
        <w:t>, aun cuando la causa real sea una política de seguridad por IP, ubicación o reputación.</w:t>
      </w:r>
    </w:p>
    <w:p>
      <w:pPr>
        <w:numPr>
          <w:ilvl w:val="0"/>
          <w:numId w:val="31"/>
        </w:numPr>
      </w:pPr>
      <w:r>
        <w:rPr>
          <w:rFonts w:ascii="Calibri" w:hAnsi="Calibri"/>
          <w:b w:val="0"/>
          <w:i w:val="0"/>
          <w:color w:val="1F2937"/>
          <w:sz w:val="22"/>
        </w:rPr>
        <w:t>El cliente sí necesita que Gmail muestre su propia marca y dirección, por ejemplo Cliente Nuevo &lt;contacto@clientenuevo.cl&gt;.</w:t>
      </w:r>
    </w:p>
    <w:p>
      <w:pPr>
        <w:numPr>
          <w:ilvl w:val="0"/>
          <w:numId w:val="31"/>
        </w:numPr>
      </w:pPr>
      <w:r>
        <w:rPr>
          <w:rFonts w:ascii="Calibri" w:hAnsi="Calibri"/>
          <w:b w:val="0"/>
          <w:i w:val="0"/>
          <w:color w:val="1F2937"/>
          <w:sz w:val="22"/>
        </w:rPr>
        <w:t>Las respuestas deben llegar directamente a contacto@clientenuevo.cl.</w:t>
      </w:r>
    </w:p>
    <w:p>
      <w:pPr>
        <w:numPr>
          <w:ilvl w:val="0"/>
          <w:numId w:val="31"/>
        </w:numPr>
      </w:pPr>
      <w:r>
        <w:rPr>
          <w:rFonts w:ascii="Calibri" w:hAnsi="Calibri"/>
          <w:b w:val="0"/>
          <w:i w:val="0"/>
          <w:color w:val="1F2937"/>
          <w:sz w:val="22"/>
        </w:rPr>
        <w:t>No queremos exigir que cada cliente verifique su dominio en Resend, AWS SES u otra plataforma de Pixit.</w:t>
      </w:r>
    </w:p>
    <w:p>
      <w:pPr>
        <w:pStyle w:val="Heading1"/>
      </w:pPr>
      <w:r>
        <w:t>2. Arquitectura propuesta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140" w:after="140" w:line="264" w:lineRule="auto"/>
              <w:jc w:val="center"/>
            </w:pPr>
            <w:r>
              <w:rPr>
                <w:rFonts w:ascii="Calibri" w:hAnsi="Calibri"/>
                <w:b/>
                <w:i w:val="0"/>
                <w:color w:val="1F4D78"/>
                <w:sz w:val="22"/>
              </w:rPr>
              <w:t>Pixit -&gt; Supabase Edge Function -&gt; HTTPS firmado -&gt; Gateway AWS con IP fija -&gt; SMTP del cliente -&gt; destinatario</w:t>
            </w:r>
          </w:p>
        </w:tc>
      </w:tr>
    </w:tbl>
    <w:p>
      <w:pPr>
        <w:spacing w:after="0"/>
      </w:pPr>
    </w:p>
    <w:p>
      <w:r>
        <w:rPr>
          <w:rFonts w:ascii="Calibri" w:hAnsi="Calibri"/>
          <w:b w:val="0"/>
          <w:i w:val="0"/>
          <w:color w:val="1F2937"/>
          <w:sz w:val="22"/>
        </w:rPr>
        <w:t xml:space="preserve">El gateway recibe una solicitud autenticada desde Pixit y abre la conexión hacia </w:t>
      </w:r>
      <w:r>
        <w:rPr>
          <w:rFonts w:ascii="Calibri" w:hAnsi="Calibri"/>
          <w:b/>
          <w:i w:val="0"/>
          <w:color w:val="1F2937"/>
          <w:sz w:val="22"/>
        </w:rPr>
        <w:t>mail.clientenuevo.cl</w:t>
      </w:r>
      <w:r>
        <w:rPr>
          <w:rFonts w:ascii="Calibri" w:hAnsi="Calibri"/>
          <w:b w:val="0"/>
          <w:i w:val="0"/>
          <w:color w:val="1F2937"/>
          <w:sz w:val="22"/>
        </w:rPr>
        <w:t xml:space="preserve"> por el puerto configurado. Se autentica con la cuenta del cliente y entrega el mensaje mediante ese mismo servidor.</w:t>
      </w:r>
    </w:p>
    <w:p>
      <w:pPr>
        <w:keepLines/>
      </w:pPr>
      <w:r>
        <w:rPr>
          <w:rFonts w:ascii="Calibri" w:hAnsi="Calibri"/>
          <w:b/>
          <w:i w:val="0"/>
          <w:color w:val="1F2937"/>
          <w:sz w:val="22"/>
        </w:rPr>
        <w:t xml:space="preserve">AWS no reemplaza el correo del cliente ni actúa como remitente. </w:t>
      </w:r>
      <w:r>
        <w:rPr>
          <w:rFonts w:ascii="Calibri" w:hAnsi="Calibri"/>
          <w:b w:val="0"/>
          <w:i w:val="0"/>
          <w:color w:val="1F2937"/>
          <w:sz w:val="22"/>
        </w:rPr>
        <w:t>El SMTP del cliente conserva From, Reply-To, SPF y DKIM; la IP fija solo estabiliza el origen de red.</w:t>
      </w:r>
    </w:p>
    <w:p>
      <w:pPr>
        <w:pStyle w:val="Heading1"/>
      </w:pPr>
      <w:r>
        <w:t>3. Experiencia para un cliente nuevo</w:t>
      </w:r>
    </w:p>
    <w:p>
      <w:pPr>
        <w:numPr>
          <w:ilvl w:val="0"/>
          <w:numId w:val="32"/>
        </w:numPr>
      </w:pPr>
      <w:r>
        <w:rPr>
          <w:rFonts w:ascii="Calibri" w:hAnsi="Calibri"/>
          <w:b/>
          <w:i w:val="0"/>
          <w:color w:val="1F2937"/>
          <w:sz w:val="22"/>
        </w:rPr>
        <w:t xml:space="preserve">Configuración. </w:t>
      </w:r>
      <w:r>
        <w:rPr>
          <w:rFonts w:ascii="Calibri" w:hAnsi="Calibri"/>
          <w:b w:val="0"/>
          <w:i w:val="0"/>
          <w:color w:val="1F2937"/>
          <w:sz w:val="22"/>
        </w:rPr>
        <w:t>el cliente elige “Usar mi propio correo” e ingresa nombre del remitente, dirección, contraseña y proveedor. Pixit completa host, puerto y TLS cuando reconoce el proveedor.</w:t>
      </w:r>
    </w:p>
    <w:p>
      <w:pPr>
        <w:numPr>
          <w:ilvl w:val="0"/>
          <w:numId w:val="32"/>
        </w:numPr>
      </w:pPr>
      <w:r>
        <w:rPr>
          <w:rFonts w:ascii="Calibri" w:hAnsi="Calibri"/>
          <w:b/>
          <w:i w:val="0"/>
          <w:color w:val="1F2937"/>
          <w:sz w:val="22"/>
        </w:rPr>
        <w:t xml:space="preserve">Prueba. </w:t>
      </w:r>
      <w:r>
        <w:rPr>
          <w:rFonts w:ascii="Calibri" w:hAnsi="Calibri"/>
          <w:b w:val="0"/>
          <w:i w:val="0"/>
          <w:color w:val="1F2937"/>
          <w:sz w:val="22"/>
        </w:rPr>
        <w:t>Pixit valida las credenciales mediante el gateway y muestra un diagnóstico claro si falla autenticación, TLS, DNS o conexión.</w:t>
      </w:r>
    </w:p>
    <w:p>
      <w:pPr>
        <w:numPr>
          <w:ilvl w:val="0"/>
          <w:numId w:val="32"/>
        </w:numPr>
      </w:pPr>
      <w:r>
        <w:rPr>
          <w:rFonts w:ascii="Calibri" w:hAnsi="Calibri"/>
          <w:b/>
          <w:i w:val="0"/>
          <w:color w:val="1F2937"/>
          <w:sz w:val="22"/>
        </w:rPr>
        <w:t xml:space="preserve">Envío. </w:t>
      </w:r>
      <w:r>
        <w:rPr>
          <w:rFonts w:ascii="Calibri" w:hAnsi="Calibri"/>
          <w:b w:val="0"/>
          <w:i w:val="0"/>
          <w:color w:val="1F2937"/>
          <w:sz w:val="22"/>
        </w:rPr>
        <w:t>las notificaciones de órdenes salen como Cliente Nuevo &lt;contacto@clientenuevo.cl&gt; y las respuestas vuelven a esa casilla.</w:t>
      </w:r>
    </w:p>
    <w:p>
      <w:pPr>
        <w:numPr>
          <w:ilvl w:val="0"/>
          <w:numId w:val="32"/>
        </w:numPr>
      </w:pPr>
      <w:r>
        <w:rPr>
          <w:rFonts w:ascii="Calibri" w:hAnsi="Calibri"/>
          <w:b/>
          <w:i w:val="0"/>
          <w:color w:val="1F2937"/>
          <w:sz w:val="22"/>
        </w:rPr>
        <w:t xml:space="preserve">Sin verificación adicional. </w:t>
      </w:r>
      <w:r>
        <w:rPr>
          <w:rFonts w:ascii="Calibri" w:hAnsi="Calibri"/>
          <w:b w:val="0"/>
          <w:i w:val="0"/>
          <w:color w:val="1F2937"/>
          <w:sz w:val="22"/>
        </w:rPr>
        <w:t>el cliente no verifica su dominio dentro de Pixit. Sí debe tener su correo y los registros SPF/DKIM correctamente configurados en su proveedor habitual.</w:t>
      </w:r>
    </w:p>
    <w:p>
      <w:pPr>
        <w:pStyle w:val="Heading1"/>
      </w:pPr>
      <w:r>
        <w:t>4. Componentes a implementar</w:t>
      </w:r>
    </w:p>
    <w:p>
      <w:pPr>
        <w:numPr>
          <w:ilvl w:val="0"/>
          <w:numId w:val="33"/>
        </w:numPr>
      </w:pPr>
      <w:r>
        <w:rPr>
          <w:rFonts w:ascii="Calibri" w:hAnsi="Calibri"/>
          <w:b/>
          <w:i w:val="0"/>
          <w:color w:val="1F2937"/>
          <w:sz w:val="22"/>
        </w:rPr>
        <w:t xml:space="preserve">Infraestructura AWS. </w:t>
      </w:r>
      <w:r>
        <w:rPr>
          <w:rFonts w:ascii="Calibri" w:hAnsi="Calibri"/>
          <w:b w:val="0"/>
          <w:i w:val="0"/>
          <w:color w:val="1F2937"/>
          <w:sz w:val="22"/>
        </w:rPr>
        <w:t>crear un VPS con IPv4 reservada —Lightsail con Static IP o EC2 con Elastic IP—, asociar el DNS mail-gateway.pixit.cl y habilitar HTTPS.</w:t>
      </w:r>
    </w:p>
    <w:p>
      <w:pPr>
        <w:numPr>
          <w:ilvl w:val="0"/>
          <w:numId w:val="33"/>
        </w:numPr>
      </w:pPr>
      <w:r>
        <w:rPr>
          <w:rFonts w:ascii="Calibri" w:hAnsi="Calibri"/>
          <w:b/>
          <w:i w:val="0"/>
          <w:color w:val="1F2937"/>
          <w:sz w:val="22"/>
        </w:rPr>
        <w:t xml:space="preserve">Servicio gateway. </w:t>
      </w:r>
      <w:r>
        <w:rPr>
          <w:rFonts w:ascii="Calibri" w:hAnsi="Calibri"/>
          <w:b w:val="0"/>
          <w:i w:val="0"/>
          <w:color w:val="1F2937"/>
          <w:sz w:val="22"/>
        </w:rPr>
        <w:t>desplegar el servicio Node/Nodemailer en Docker. Debe aceptar solo solicitudes firmadas desde Pixit y conectarse únicamente a puertos SMTP autorizados.</w:t>
      </w:r>
    </w:p>
    <w:p>
      <w:pPr>
        <w:numPr>
          <w:ilvl w:val="0"/>
          <w:numId w:val="33"/>
        </w:numPr>
      </w:pPr>
      <w:r>
        <w:rPr>
          <w:rFonts w:ascii="Calibri" w:hAnsi="Calibri"/>
          <w:b/>
          <w:i w:val="0"/>
          <w:color w:val="1F2937"/>
          <w:sz w:val="22"/>
        </w:rPr>
        <w:t xml:space="preserve">Integración Supabase. </w:t>
      </w:r>
      <w:r>
        <w:rPr>
          <w:rFonts w:ascii="Calibri" w:hAnsi="Calibri"/>
          <w:b w:val="0"/>
          <w:i w:val="0"/>
          <w:color w:val="1F2937"/>
          <w:sz w:val="22"/>
        </w:rPr>
        <w:t>la Edge Function send-email envía al gateway la configuración SMTP y el mensaje mediante HTTPS con firma HMAC, identificador único y vencimiento corto.</w:t>
      </w:r>
    </w:p>
    <w:p>
      <w:pPr>
        <w:numPr>
          <w:ilvl w:val="0"/>
          <w:numId w:val="33"/>
        </w:numPr>
      </w:pPr>
      <w:r>
        <w:rPr>
          <w:rFonts w:ascii="Calibri" w:hAnsi="Calibri"/>
          <w:b/>
          <w:i w:val="0"/>
          <w:color w:val="1F2937"/>
          <w:sz w:val="22"/>
        </w:rPr>
        <w:t xml:space="preserve">Configuración por empresa. </w:t>
      </w:r>
      <w:r>
        <w:rPr>
          <w:rFonts w:ascii="Calibri" w:hAnsi="Calibri"/>
          <w:b w:val="0"/>
          <w:i w:val="0"/>
          <w:color w:val="1F2937"/>
          <w:sz w:val="22"/>
        </w:rPr>
        <w:t>guardar credenciales en Supabase Vault o un almacén equivalente; nunca enviarlas al navegador ni registrarlas en logs.</w:t>
      </w:r>
    </w:p>
    <w:p>
      <w:pPr>
        <w:numPr>
          <w:ilvl w:val="0"/>
          <w:numId w:val="33"/>
        </w:numPr>
      </w:pPr>
      <w:r>
        <w:rPr>
          <w:rFonts w:ascii="Calibri" w:hAnsi="Calibri"/>
          <w:b/>
          <w:i w:val="0"/>
          <w:color w:val="1F2937"/>
          <w:sz w:val="22"/>
        </w:rPr>
        <w:t xml:space="preserve">Interfaz. </w:t>
      </w:r>
      <w:r>
        <w:rPr>
          <w:rFonts w:ascii="Calibri" w:hAnsi="Calibri"/>
          <w:b w:val="0"/>
          <w:i w:val="0"/>
          <w:color w:val="1F2937"/>
          <w:sz w:val="22"/>
        </w:rPr>
        <w:t>ofrecer dos modos explícitos: “Correo administrado por Pixit” y “Usar mi propio correo”. No cambiar de modo de manera silenciosa.</w:t>
      </w:r>
    </w:p>
    <w:p>
      <w:pPr>
        <w:numPr>
          <w:ilvl w:val="0"/>
          <w:numId w:val="33"/>
        </w:numPr>
      </w:pPr>
      <w:r>
        <w:rPr>
          <w:rFonts w:ascii="Calibri" w:hAnsi="Calibri"/>
          <w:b/>
          <w:i w:val="0"/>
          <w:color w:val="1F2937"/>
          <w:sz w:val="22"/>
        </w:rPr>
        <w:t xml:space="preserve">Monitoreo. </w:t>
      </w:r>
      <w:r>
        <w:rPr>
          <w:rFonts w:ascii="Calibri" w:hAnsi="Calibri"/>
          <w:b w:val="0"/>
          <w:i w:val="0"/>
          <w:color w:val="1F2937"/>
          <w:sz w:val="22"/>
        </w:rPr>
        <w:t>registrar resultado, latencia, proveedor, tenant y código de error sin guardar contraseñas ni el contenido completo del correo.</w:t>
      </w:r>
    </w:p>
    <w:p>
      <w:pPr>
        <w:pStyle w:val="Heading1"/>
      </w:pPr>
      <w:r>
        <w:t>5. Controles de seguridad obligatorios</w:t>
      </w:r>
    </w:p>
    <w:p>
      <w:pPr>
        <w:numPr>
          <w:ilvl w:val="0"/>
          <w:numId w:val="31"/>
        </w:numPr>
      </w:pPr>
      <w:r>
        <w:rPr>
          <w:rFonts w:ascii="Calibri" w:hAnsi="Calibri"/>
          <w:b w:val="0"/>
          <w:i w:val="0"/>
          <w:color w:val="1F2937"/>
          <w:sz w:val="22"/>
        </w:rPr>
        <w:t>HTTPS con TLS 1.2 o superior entre Supabase y el gateway.</w:t>
      </w:r>
    </w:p>
    <w:p>
      <w:pPr>
        <w:numPr>
          <w:ilvl w:val="0"/>
          <w:numId w:val="31"/>
        </w:numPr>
      </w:pPr>
      <w:r>
        <w:rPr>
          <w:rFonts w:ascii="Calibri" w:hAnsi="Calibri"/>
          <w:b w:val="0"/>
          <w:i w:val="0"/>
          <w:color w:val="1F2937"/>
          <w:sz w:val="22"/>
        </w:rPr>
        <w:t>Firma HMAC, expiración máxima de cinco minutos e idempotencia por requestId.</w:t>
      </w:r>
    </w:p>
    <w:p>
      <w:pPr>
        <w:numPr>
          <w:ilvl w:val="0"/>
          <w:numId w:val="31"/>
        </w:numPr>
      </w:pPr>
      <w:r>
        <w:rPr>
          <w:rFonts w:ascii="Calibri" w:hAnsi="Calibri"/>
          <w:b w:val="0"/>
          <w:i w:val="0"/>
          <w:color w:val="1F2937"/>
          <w:sz w:val="22"/>
        </w:rPr>
        <w:t>Bloqueo de loopback, metadata cloud y redes privadas para evitar SSRF.</w:t>
      </w:r>
    </w:p>
    <w:p>
      <w:pPr>
        <w:numPr>
          <w:ilvl w:val="0"/>
          <w:numId w:val="31"/>
        </w:numPr>
      </w:pPr>
      <w:r>
        <w:rPr>
          <w:rFonts w:ascii="Calibri" w:hAnsi="Calibri"/>
          <w:b w:val="0"/>
          <w:i w:val="0"/>
          <w:color w:val="1F2937"/>
          <w:sz w:val="22"/>
        </w:rPr>
        <w:t>Puertos permitidos: 465, 587 y 2525; límites de tamaño, tasa, concurrencia y cola.</w:t>
      </w:r>
    </w:p>
    <w:p>
      <w:pPr>
        <w:numPr>
          <w:ilvl w:val="0"/>
          <w:numId w:val="31"/>
        </w:numPr>
      </w:pPr>
      <w:r>
        <w:rPr>
          <w:rFonts w:ascii="Calibri" w:hAnsi="Calibri"/>
          <w:b w:val="0"/>
          <w:i w:val="0"/>
          <w:color w:val="1F2937"/>
          <w:sz w:val="22"/>
        </w:rPr>
        <w:t>Secretos fuera del repositorio, del frontend y de los logs.</w:t>
      </w:r>
    </w:p>
    <w:p>
      <w:pPr>
        <w:numPr>
          <w:ilvl w:val="0"/>
          <w:numId w:val="31"/>
        </w:numPr>
      </w:pPr>
      <w:r>
        <w:rPr>
          <w:rFonts w:ascii="Calibri" w:hAnsi="Calibri"/>
          <w:b w:val="0"/>
          <w:i w:val="0"/>
          <w:color w:val="1F2937"/>
          <w:sz w:val="22"/>
        </w:rPr>
        <w:t>Sin reintento automático por Resend después de un fallo SMTP, porque podría duplicar correos.</w:t>
      </w:r>
    </w:p>
    <w:p>
      <w:pPr>
        <w:pStyle w:val="Heading1"/>
      </w:pPr>
      <w:r>
        <w:t>6. Limitaciones que deben comunicarse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4CE"/>
          </w:tcPr>
          <w:p>
            <w:pPr>
              <w:spacing w:before="60" w:after="60" w:line="264" w:lineRule="auto"/>
            </w:pPr>
            <w:r>
              <w:rPr>
                <w:rFonts w:ascii="Calibri" w:hAnsi="Calibri"/>
                <w:b/>
                <w:i w:val="0"/>
                <w:color w:val="1F4D78"/>
                <w:sz w:val="22"/>
              </w:rPr>
              <w:t xml:space="preserve">Importante: 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>una IP fija reduce los bloqueos y permite listas blancas, pero no garantiza que todos los hostings acepten SMTP. Un proveedor muy restrictivo puede pedir autorizar una sola vez la IP del gateway o habilitar el acceso externo.</w:t>
            </w:r>
          </w:p>
        </w:tc>
      </w:tr>
    </w:tbl>
    <w:p>
      <w:pPr>
        <w:spacing w:after="0"/>
      </w:pPr>
    </w:p>
    <w:p>
      <w:pPr>
        <w:numPr>
          <w:ilvl w:val="0"/>
          <w:numId w:val="31"/>
        </w:numPr>
      </w:pPr>
      <w:r>
        <w:rPr>
          <w:rFonts w:ascii="Calibri" w:hAnsi="Calibri"/>
          <w:b w:val="0"/>
          <w:i w:val="0"/>
          <w:color w:val="1F2937"/>
          <w:sz w:val="22"/>
        </w:rPr>
        <w:t>Gmail y Microsoft 365 deberían incorporar OAuth en una fase posterior; depender solo de contraseñas puede fallar por políticas del proveedor.</w:t>
      </w:r>
    </w:p>
    <w:p>
      <w:pPr>
        <w:numPr>
          <w:ilvl w:val="0"/>
          <w:numId w:val="31"/>
        </w:numPr>
      </w:pPr>
      <w:r>
        <w:rPr>
          <w:rFonts w:ascii="Calibri" w:hAnsi="Calibri"/>
          <w:b w:val="0"/>
          <w:i w:val="0"/>
          <w:color w:val="1F2937"/>
          <w:sz w:val="22"/>
        </w:rPr>
        <w:t>La entregabilidad final también depende de SPF, DKIM, DMARC, reputación del dominio y límites del hosting del cliente.</w:t>
      </w:r>
    </w:p>
    <w:p>
      <w:pPr>
        <w:numPr>
          <w:ilvl w:val="0"/>
          <w:numId w:val="31"/>
        </w:numPr>
      </w:pPr>
      <w:r>
        <w:rPr>
          <w:rFonts w:ascii="Calibri" w:hAnsi="Calibri"/>
          <w:b w:val="0"/>
          <w:i w:val="0"/>
          <w:color w:val="1F2937"/>
          <w:sz w:val="22"/>
        </w:rPr>
        <w:t>La IP fija soluciona la estabilidad del origen de red; no corrige contraseñas erróneas ni buzones suspendidos.</w:t>
      </w:r>
    </w:p>
    <w:p>
      <w:pPr>
        <w:pStyle w:val="Heading1"/>
      </w:pPr>
      <w:r>
        <w:t>7. Plan de puesta en marcha</w:t>
      </w:r>
    </w:p>
    <w:p>
      <w:pPr>
        <w:numPr>
          <w:ilvl w:val="0"/>
          <w:numId w:val="34"/>
        </w:numPr>
      </w:pPr>
      <w:r>
        <w:rPr>
          <w:rFonts w:ascii="Calibri" w:hAnsi="Calibri"/>
          <w:b/>
          <w:i w:val="0"/>
          <w:color w:val="1F2937"/>
          <w:sz w:val="22"/>
        </w:rPr>
        <w:t xml:space="preserve">Piloto interno. </w:t>
      </w:r>
      <w:r>
        <w:rPr>
          <w:rFonts w:ascii="Calibri" w:hAnsi="Calibri"/>
          <w:b w:val="0"/>
          <w:i w:val="0"/>
          <w:color w:val="1F2937"/>
          <w:sz w:val="22"/>
        </w:rPr>
        <w:t>desplegar el gateway en AWS, reservar la IP, configurar DNS/HTTPS y probar con contacto@stevedocs.cl.</w:t>
      </w:r>
    </w:p>
    <w:p>
      <w:pPr>
        <w:numPr>
          <w:ilvl w:val="0"/>
          <w:numId w:val="34"/>
        </w:numPr>
      </w:pPr>
      <w:r>
        <w:rPr>
          <w:rFonts w:ascii="Calibri" w:hAnsi="Calibri"/>
          <w:b/>
          <w:i w:val="0"/>
          <w:color w:val="1F2937"/>
          <w:sz w:val="22"/>
        </w:rPr>
        <w:t xml:space="preserve">Validación técnica. </w:t>
      </w:r>
      <w:r>
        <w:rPr>
          <w:rFonts w:ascii="Calibri" w:hAnsi="Calibri"/>
          <w:b w:val="0"/>
          <w:i w:val="0"/>
          <w:color w:val="1F2937"/>
          <w:sz w:val="22"/>
        </w:rPr>
        <w:t>probar SSL 465, STARTTLS 587, rechazo de firma, idempotencia, límites y mensajes de error.</w:t>
      </w:r>
    </w:p>
    <w:p>
      <w:pPr>
        <w:numPr>
          <w:ilvl w:val="0"/>
          <w:numId w:val="34"/>
        </w:numPr>
      </w:pPr>
      <w:r>
        <w:rPr>
          <w:rFonts w:ascii="Calibri" w:hAnsi="Calibri"/>
          <w:b/>
          <w:i w:val="0"/>
          <w:color w:val="1F2937"/>
          <w:sz w:val="22"/>
        </w:rPr>
        <w:t xml:space="preserve">Integración controlada. </w:t>
      </w:r>
      <w:r>
        <w:rPr>
          <w:rFonts w:ascii="Calibri" w:hAnsi="Calibri"/>
          <w:b w:val="0"/>
          <w:i w:val="0"/>
          <w:color w:val="1F2937"/>
          <w:sz w:val="22"/>
        </w:rPr>
        <w:t>aplicar la migración de modo de correo, configurar secretos de Supabase y desplegar send-email.</w:t>
      </w:r>
    </w:p>
    <w:p>
      <w:pPr>
        <w:numPr>
          <w:ilvl w:val="0"/>
          <w:numId w:val="34"/>
        </w:numPr>
      </w:pPr>
      <w:r>
        <w:rPr>
          <w:rFonts w:ascii="Calibri" w:hAnsi="Calibri"/>
          <w:b/>
          <w:i w:val="0"/>
          <w:color w:val="1F2937"/>
          <w:sz w:val="22"/>
        </w:rPr>
        <w:t xml:space="preserve">Piloto con clientes. </w:t>
      </w:r>
      <w:r>
        <w:rPr>
          <w:rFonts w:ascii="Calibri" w:hAnsi="Calibri"/>
          <w:b w:val="0"/>
          <w:i w:val="0"/>
          <w:color w:val="1F2937"/>
          <w:sz w:val="22"/>
        </w:rPr>
        <w:t>activar pocos tenants, medir tasa de éxito, bloqueos, rebotes y tiempo de entrega.</w:t>
      </w:r>
    </w:p>
    <w:p>
      <w:pPr>
        <w:numPr>
          <w:ilvl w:val="0"/>
          <w:numId w:val="34"/>
        </w:numPr>
      </w:pPr>
      <w:r>
        <w:rPr>
          <w:rFonts w:ascii="Calibri" w:hAnsi="Calibri"/>
          <w:b/>
          <w:i w:val="0"/>
          <w:color w:val="1F2937"/>
          <w:sz w:val="22"/>
        </w:rPr>
        <w:t xml:space="preserve">Producción. </w:t>
      </w:r>
      <w:r>
        <w:rPr>
          <w:rFonts w:ascii="Calibri" w:hAnsi="Calibri"/>
          <w:b w:val="0"/>
          <w:i w:val="0"/>
          <w:color w:val="1F2937"/>
          <w:sz w:val="22"/>
        </w:rPr>
        <w:t>documentar soporte, rotación de secretos, monitoreo, backups y procedimiento de autorización de IP cuando sea necesario.</w:t>
      </w:r>
    </w:p>
    <w:p>
      <w:pPr>
        <w:pStyle w:val="Heading1"/>
      </w:pPr>
      <w:r>
        <w:t>8. Criterios de aceptación</w:t>
      </w:r>
    </w:p>
    <w:p>
      <w:pPr>
        <w:numPr>
          <w:ilvl w:val="0"/>
          <w:numId w:val="31"/>
        </w:numPr>
      </w:pPr>
      <w:r>
        <w:rPr>
          <w:rFonts w:ascii="Calibri" w:hAnsi="Calibri"/>
          <w:b w:val="0"/>
          <w:i w:val="0"/>
          <w:color w:val="1F2937"/>
          <w:sz w:val="22"/>
        </w:rPr>
        <w:t>Gmail muestra el nombre y la dirección real del cliente; Reply-To apunta a la misma cuenta.</w:t>
      </w:r>
    </w:p>
    <w:p>
      <w:pPr>
        <w:numPr>
          <w:ilvl w:val="0"/>
          <w:numId w:val="31"/>
        </w:numPr>
      </w:pPr>
      <w:r>
        <w:rPr>
          <w:rFonts w:ascii="Calibri" w:hAnsi="Calibri"/>
          <w:b w:val="0"/>
          <w:i w:val="0"/>
          <w:color w:val="1F2937"/>
          <w:sz w:val="22"/>
        </w:rPr>
        <w:t>El cliente no debe verificar su dominio dentro de Pixit.</w:t>
      </w:r>
    </w:p>
    <w:p>
      <w:pPr>
        <w:numPr>
          <w:ilvl w:val="0"/>
          <w:numId w:val="31"/>
        </w:numPr>
      </w:pPr>
      <w:r>
        <w:rPr>
          <w:rFonts w:ascii="Calibri" w:hAnsi="Calibri"/>
          <w:b w:val="0"/>
          <w:i w:val="0"/>
          <w:color w:val="1F2937"/>
          <w:sz w:val="22"/>
        </w:rPr>
        <w:t>La conexión SMTP siempre sale desde la IPv4 fija del gateway.</w:t>
      </w:r>
    </w:p>
    <w:p>
      <w:pPr>
        <w:numPr>
          <w:ilvl w:val="0"/>
          <w:numId w:val="31"/>
        </w:numPr>
      </w:pPr>
      <w:r>
        <w:rPr>
          <w:rFonts w:ascii="Calibri" w:hAnsi="Calibri"/>
          <w:b w:val="0"/>
          <w:i w:val="0"/>
          <w:color w:val="1F2937"/>
          <w:sz w:val="22"/>
        </w:rPr>
        <w:t>Las credenciales no aparecen en frontend, logs ni repositorio.</w:t>
      </w:r>
    </w:p>
    <w:p>
      <w:pPr>
        <w:numPr>
          <w:ilvl w:val="0"/>
          <w:numId w:val="31"/>
        </w:numPr>
      </w:pPr>
      <w:r>
        <w:rPr>
          <w:rFonts w:ascii="Calibri" w:hAnsi="Calibri"/>
          <w:b w:val="0"/>
          <w:i w:val="0"/>
          <w:color w:val="1F2937"/>
          <w:sz w:val="22"/>
        </w:rPr>
        <w:t>Un fallo explica si corresponde a autenticación, red, TLS, DNS o política del hosting.</w:t>
      </w:r>
    </w:p>
    <w:p>
      <w:pPr>
        <w:numPr>
          <w:ilvl w:val="0"/>
          <w:numId w:val="31"/>
        </w:numPr>
      </w:pPr>
      <w:r>
        <w:rPr>
          <w:rFonts w:ascii="Calibri" w:hAnsi="Calibri"/>
          <w:b w:val="0"/>
          <w:i w:val="0"/>
          <w:color w:val="1F2937"/>
          <w:sz w:val="22"/>
        </w:rPr>
        <w:t>Los reintentos son idempotentes y no generan mensajes duplicados.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 w:val="0"/>
        <w:i w:val="0"/>
        <w:color w:val="5A6574"/>
        <w:sz w:val="18"/>
      </w:rPr>
      <w:t xml:space="preserve">Página </w:t>
    </w:r>
    <w:r>
      <w:rPr>
        <w:rFonts w:ascii="Calibri" w:hAnsi="Calibri"/>
        <w:b w:val="0"/>
        <w:i w:val="0"/>
        <w:color w:val="5A6574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right"/>
      </w:tabs>
      <w:spacing w:after="0"/>
    </w:pPr>
    <w:r>
      <w:rPr>
        <w:rFonts w:ascii="Calibri" w:hAnsi="Calibri"/>
        <w:b/>
        <w:i w:val="0"/>
        <w:color w:val="5A6574"/>
        <w:sz w:val="18"/>
      </w:rPr>
      <w:t>PIXIT | PLAN TÉCNICO</w:t>
    </w:r>
    <w:r>
      <w:rPr>
        <w:rFonts w:ascii="Calibri" w:hAnsi="Calibri"/>
        <w:b w:val="0"/>
        <w:i w:val="0"/>
        <w:color w:val="5A6574"/>
        <w:sz w:val="18"/>
      </w:rPr>
      <w:tab/>
      <w:t>SMTP MULTI-TENANT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31">
    <w:multiLevelType w:val="singleLevel"/>
    <w:lvl w:ilvl="0">
      <w:start w:val="1"/>
      <w:numFmt w:val="bullet"/>
      <w:lvlText w:val="•"/>
      <w:suff w:val="tab"/>
      <w:pPr>
        <w:tabs>
          <w:tab w:val="num" w:pos="720"/>
        </w:tabs>
        <w:ind w:left="720" w:hanging="360"/>
        <w:spacing w:after="160" w:line="280" w:lineRule="auto"/>
      </w:pPr>
    </w:lvl>
  </w:abstractNum>
  <w:num w:numId="31">
    <w:abstractNumId w:val="31"/>
  </w:num>
  <w:abstractNum w:abstractNumId="32">
    <w:multiLevelType w:val="singleLevel"/>
    <w:lvl w:ilvl="0">
      <w:start w:val="1"/>
      <w:numFmt w:val="decimal"/>
      <w:lvlText w:val="%1."/>
      <w:suff w:val="tab"/>
      <w:pPr>
        <w:tabs>
          <w:tab w:val="num" w:pos="720"/>
        </w:tabs>
        <w:ind w:left="720" w:hanging="360"/>
        <w:spacing w:after="160" w:line="280" w:lineRule="auto"/>
      </w:pPr>
    </w:lvl>
  </w:abstractNum>
  <w:num w:numId="32">
    <w:abstractNumId w:val="32"/>
  </w:num>
  <w:abstractNum w:abstractNumId="33">
    <w:multiLevelType w:val="singleLevel"/>
    <w:lvl w:ilvl="0">
      <w:start w:val="1"/>
      <w:numFmt w:val="decimal"/>
      <w:lvlText w:val="%1."/>
      <w:suff w:val="tab"/>
      <w:pPr>
        <w:tabs>
          <w:tab w:val="num" w:pos="720"/>
        </w:tabs>
        <w:ind w:left="720" w:hanging="360"/>
        <w:spacing w:after="160" w:line="280" w:lineRule="auto"/>
      </w:pPr>
    </w:lvl>
  </w:abstractNum>
  <w:num w:numId="33">
    <w:abstractNumId w:val="33"/>
  </w:num>
  <w:abstractNum w:abstractNumId="34">
    <w:multiLevelType w:val="singleLevel"/>
    <w:lvl w:ilvl="0">
      <w:start w:val="1"/>
      <w:numFmt w:val="decimal"/>
      <w:lvlText w:val="%1."/>
      <w:suff w:val="tab"/>
      <w:pPr>
        <w:tabs>
          <w:tab w:val="num" w:pos="720"/>
        </w:tabs>
        <w:ind w:left="720" w:hanging="360"/>
        <w:spacing w:after="160" w:line="280" w:lineRule="auto"/>
      </w:pPr>
    </w:lvl>
  </w:abstractNum>
  <w:num w:numId="34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 técnico - Gateway SMTP con IP fija para Pixit</dc:title>
  <dc:subject>Arquitectura de correo SMTP multi-tenant</dc:subject>
  <dc:creator>Pixit</dc:creator>
  <cp:keywords>Pixit, SMTP, IP fija, AWS, Supabase, correo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