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535" w:val="clear"/>
            <w:tcMar>
              <w:top w:type="dxa" w:w="300"/>
              <w:left w:type="dxa" w:w="400"/>
              <w:bottom w:type="dxa" w:w="300"/>
              <w:right w:type="dxa" w:w="400"/>
            </w:tcMar>
          </w:tcPr>
          <w:p>
            <w:pPr>
              <w:spacing w:before="0" w:after="40"/>
              <w:jc w:val="center"/>
            </w:pPr>
            <w:r>
              <w:rPr>
                <w:rFonts w:ascii="Arial" w:cs="Arial" w:eastAsia="Arial" w:hAnsi="Arial"/>
                <w:caps/>
                <w:color w:val="AAAAAA"/>
                <w:sz w:val="18"/>
                <w:szCs w:val="18"/>
              </w:rPr>
              <w:t xml:space="preserve">CONVOCATORIA ABIERTA</w:t>
            </w:r>
          </w:p>
          <w:p>
            <w:pPr>
              <w:spacing w:before="0" w:after="40"/>
              <w:jc w:val="center"/>
            </w:pPr>
            <w:r>
              <w:rPr>
                <w:rFonts w:ascii="Arial" w:cs="Arial" w:eastAsia="Arial" w:hAnsi="Arial"/>
                <w:b/>
                <w:bCs/>
                <w:color w:val="FFFFFF"/>
                <w:sz w:val="44"/>
                <w:szCs w:val="44"/>
              </w:rPr>
              <w:t xml:space="preserve">Residencia de I+D+i</w:t>
            </w:r>
          </w:p>
          <w:p>
            <w:pPr>
              <w:spacing w:before="0" w:after="60"/>
              <w:jc w:val="center"/>
            </w:pPr>
            <w:r>
              <w:rPr>
                <w:rFonts w:ascii="Arial" w:cs="Arial" w:eastAsia="Arial" w:hAnsi="Arial"/>
                <w:b/>
                <w:bCs/>
                <w:color w:val="C0392B"/>
                <w:sz w:val="36"/>
                <w:szCs w:val="36"/>
              </w:rPr>
              <w:t xml:space="preserve">Obras Tecnocreativas</w:t>
            </w:r>
          </w:p>
          <w:p>
            <w:pPr>
              <w:spacing w:before="0" w:after="40"/>
              <w:jc w:val="center"/>
            </w:pPr>
            <w:r>
              <w:rPr>
                <w:rFonts w:ascii="Arial" w:cs="Arial" w:eastAsia="Arial" w:hAnsi="Arial"/>
                <w:color w:val="CCCCCC"/>
                <w:sz w:val="18"/>
                <w:szCs w:val="18"/>
              </w:rPr>
              <w:t xml:space="preserve">CRTIC · Centro de Revolución Tecnológica en Industrias Creativas</w:t>
            </w:r>
          </w:p>
          <w:p>
            <w:pPr>
              <w:spacing w:before="0" w:after="20"/>
              <w:jc w:val="center"/>
            </w:pPr>
            <w:r>
              <w:rPr>
                <w:rFonts w:ascii="Arial" w:cs="Arial" w:eastAsia="Arial" w:hAnsi="Arial"/>
                <w:color w:val="999999"/>
                <w:sz w:val="18"/>
                <w:szCs w:val="18"/>
              </w:rPr>
              <w:t xml:space="preserve">Santiago · Pucón · Chile   |   Convocatoria permanente · 2026–2027</w:t>
            </w:r>
          </w:p>
        </w:tc>
      </w:tr>
    </w:tbl>
    <w:p>
      <w:pPr>
        <w:spacing w:before="200" w:after="0"/>
      </w:pPr>
    </w:p>
    <w:p>
      <w:pPr>
        <w:spacing w:before="60" w:after="120"/>
        <w:jc w:val="center"/>
      </w:pPr>
      <w:r>
        <w:rPr>
          <w:rFonts w:ascii="Arial" w:cs="Arial" w:eastAsia="Arial" w:hAnsi="Arial"/>
          <w:b/>
          <w:bCs/>
          <w:color w:val="1A2535"/>
          <w:sz w:val="24"/>
          <w:szCs w:val="24"/>
        </w:rPr>
        <w:t xml:space="preserve">No buscamos proveedores. Buscamos investigadores que aún no saben exactamente qué van a descubrir.</w:t>
      </w:r>
    </w:p>
    <w:p>
      <w:pPr>
        <w:spacing w:before="60" w:after="60"/>
      </w:pPr>
      <w:r>
        <w:rPr>
          <w:rFonts w:ascii="Arial" w:cs="Arial" w:eastAsia="Arial" w:hAnsi="Arial"/>
          <w:color w:val="333333"/>
          <w:sz w:val="20"/>
          <w:szCs w:val="20"/>
        </w:rPr>
        <w:t xml:space="preserve">CRTIC es el Centro de Revolución Tecnológica en Industrias Creativas de Chile. Desde nuestra Dirección de Innovación Tecnocreativa operamos como laboratorio vivo de investigación, donde el arte, la tecnología y el pensamiento crítico colisionan para generar conocimiento nuevo —y, a partir de ese conocimiento, propiedad intelectual transferible, licenciable y con impacto de escala nacional.</w:t>
      </w:r>
    </w:p>
    <w:p>
      <w:pPr>
        <w:spacing w:before="60" w:after="0"/>
      </w:pPr>
    </w:p>
    <w:p>
      <w:pPr>
        <w:spacing w:before="60" w:after="60"/>
      </w:pPr>
      <w:r>
        <w:rPr>
          <w:rFonts w:ascii="Arial" w:cs="Arial" w:eastAsia="Arial" w:hAnsi="Arial"/>
          <w:color w:val="333333"/>
          <w:sz w:val="20"/>
          <w:szCs w:val="20"/>
        </w:rPr>
        <w:t xml:space="preserve">Esta convocatoria invita a startups tecnocreativas del ecosistema chileno a integrarse como Residentes de I+D+i para co-crear una obra de arte total: una pieza que no existe aún, cuya forma exacta se definirá en el proceso, y que por esa misma razón vale la pena investigar.</w:t>
      </w:r>
    </w:p>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535" w:val="clear"/>
            <w:tcMar>
              <w:top w:type="dxa" w:w="140"/>
              <w:left w:type="dxa" w:w="200"/>
              <w:bottom w:type="dxa" w:w="140"/>
              <w:right w:type="dxa" w:w="200"/>
            </w:tcMar>
          </w:tcPr>
          <w:p>
            <w:pPr>
              <w:jc w:val="left"/>
            </w:pPr>
            <w:r>
              <w:rPr>
                <w:rFonts w:ascii="Arial" w:cs="Arial" w:eastAsia="Arial" w:hAnsi="Arial"/>
                <w:b/>
                <w:bCs/>
                <w:color w:val="FFFFFF"/>
                <w:sz w:val="26"/>
                <w:szCs w:val="26"/>
              </w:rPr>
              <w:t xml:space="preserve">01. ¿QUÉ ES LA RESIDENCIA DE I+D+i?</w:t>
            </w:r>
          </w:p>
        </w:tc>
      </w:tr>
    </w:tbl>
    <w:p>
      <w:pPr>
        <w:spacing w:before="120" w:after="0"/>
      </w:pPr>
    </w:p>
    <w:p>
      <w:pPr>
        <w:spacing w:before="60" w:after="60"/>
      </w:pPr>
      <w:r>
        <w:rPr>
          <w:rFonts w:ascii="Arial" w:cs="Arial" w:eastAsia="Arial" w:hAnsi="Arial"/>
          <w:color w:val="333333"/>
          <w:sz w:val="20"/>
          <w:szCs w:val="20"/>
        </w:rPr>
        <w:t xml:space="preserve">La Residencia de I+D+i de CRTIC es un programa de investigación colaborativa de mediana duración —entre 6 y 18 meses según el proyecto— en que startups tecnocreativas con personalidad jurídica seleccionadas se integran al equipo de CRTIC para explorar un problema abierto mediante nuestra metodología Art Thinking.</w:t>
      </w:r>
    </w:p>
    <w:p>
      <w:pPr>
        <w:spacing w:before="60" w:after="0"/>
      </w:pPr>
    </w:p>
    <w:p>
      <w:pPr>
        <w:spacing w:before="60" w:after="60"/>
      </w:pPr>
      <w:r>
        <w:rPr>
          <w:rFonts w:ascii="Arial" w:cs="Arial" w:eastAsia="Arial" w:hAnsi="Arial"/>
          <w:color w:val="333333"/>
          <w:sz w:val="20"/>
          <w:szCs w:val="20"/>
        </w:rPr>
        <w:t xml:space="preserve">El resultado central es una obra tecnocreativa: una producción que combina rigor tecnológico con radicalidad artística, que se valida ante público real, y de cuya exploración emergen tecnologías, procesos y conocimiento susceptibles de protección como propiedad intelectual.</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Borders>
              <w:top w:val="none" w:color="FFFFFF" w:sz="0"/>
              <w:left w:val="none" w:color="FFFFFF" w:sz="0"/>
              <w:bottom w:val="none" w:color="FFFFFF" w:sz="0"/>
              <w:right w:val="none" w:color="FFFFFF" w:sz="0"/>
            </w:tcBorders>
            <w:shd w:fill="C0392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Art Thinking</w:t>
            </w:r>
          </w:p>
        </w:tc>
        <w:tc>
          <w:tcPr>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r>
              <w:rPr>
                <w:rFonts w:ascii="Arial" w:cs="Arial" w:eastAsia="Arial" w:hAnsi="Arial"/>
                <w:color w:val="333333"/>
                <w:sz w:val="20"/>
                <w:szCs w:val="20"/>
              </w:rPr>
              <w:t xml:space="preserve">No es Design Thinking aplicado al arte. Es el uso de las prácticas artísticas —observación radical, metáfora, ambigüedad productiva— como instrumentos de pensamiento para reformular problemas antes de intentar resolverlos. En CRTIC, la pregunta siempre antecede a la solución.</w:t>
            </w:r>
          </w:p>
        </w:tc>
      </w:tr>
    </w:tbl>
    <w:p>
      <w:pPr>
        <w:spacing w:before="100" w:after="0"/>
      </w:pPr>
    </w:p>
    <w:p>
      <w:pPr>
        <w:spacing w:before="60" w:after="60"/>
      </w:pPr>
      <w:r>
        <w:rPr>
          <w:rFonts w:ascii="Arial" w:cs="Arial" w:eastAsia="Arial" w:hAnsi="Arial"/>
          <w:color w:val="333333"/>
          <w:sz w:val="20"/>
          <w:szCs w:val="20"/>
        </w:rPr>
        <w:t xml:space="preserve">Seguimos la tradición de centros como Ars Electronica FutureLab (Linz) o el MIT Media Lab (Cambridge), donde los prototipos no son pruebas de concepto comerciales, sino experimentos sociales que hacen visibles preguntas que antes no podían formularse.</w:t>
      </w:r>
    </w:p>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535" w:val="clear"/>
            <w:tcMar>
              <w:top w:type="dxa" w:w="140"/>
              <w:left w:type="dxa" w:w="200"/>
              <w:bottom w:type="dxa" w:w="140"/>
              <w:right w:type="dxa" w:w="200"/>
            </w:tcMar>
          </w:tcPr>
          <w:p>
            <w:pPr>
              <w:jc w:val="left"/>
            </w:pPr>
            <w:r>
              <w:rPr>
                <w:rFonts w:ascii="Arial" w:cs="Arial" w:eastAsia="Arial" w:hAnsi="Arial"/>
                <w:b/>
                <w:bCs/>
                <w:color w:val="FFFFFF"/>
                <w:sz w:val="26"/>
                <w:szCs w:val="26"/>
              </w:rPr>
              <w:t xml:space="preserve">02. ¿A QUIÉN VA DIRIGIDA?</w:t>
            </w:r>
          </w:p>
        </w:tc>
      </w:tr>
    </w:tbl>
    <w:p>
      <w:pPr>
        <w:spacing w:before="120" w:after="0"/>
      </w:pPr>
    </w:p>
    <w:p>
      <w:pPr>
        <w:spacing w:before="60" w:after="60"/>
      </w:pPr>
      <w:r>
        <w:rPr>
          <w:rFonts w:ascii="Arial" w:cs="Arial" w:eastAsia="Arial" w:hAnsi="Arial"/>
          <w:color w:val="333333"/>
          <w:sz w:val="20"/>
          <w:szCs w:val="20"/>
        </w:rPr>
        <w:t xml:space="preserve">La residencia está dirigida a startups tecnocreativas chilenas que cumplan con el perfil de co-investigador, no de cliente o proveedor.</w:t>
      </w:r>
    </w:p>
    <w:p>
      <w:pPr>
        <w:spacing w:before="100" w:after="0"/>
      </w:pPr>
    </w:p>
    <w:p>
      <w:pPr>
        <w:spacing w:before="180" w:after="80"/>
      </w:pPr>
      <w:r>
        <w:rPr>
          <w:rFonts w:ascii="Arial" w:cs="Arial" w:eastAsia="Arial" w:hAnsi="Arial"/>
          <w:b/>
          <w:bCs/>
          <w:color w:val="1A2535"/>
          <w:sz w:val="22"/>
          <w:szCs w:val="22"/>
        </w:rPr>
        <w:t xml:space="preserve">Requisitos formales de admisibilidad</w:t>
      </w:r>
    </w:p>
    <w:p>
      <w:pPr>
        <w:pStyle w:val="ListParagraph"/>
        <w:numPr>
          <w:ilvl w:val="0"/>
          <w:numId w:val="2"/>
        </w:numPr>
        <w:spacing w:before="40" w:after="40"/>
      </w:pPr>
      <w:r>
        <w:rPr>
          <w:rFonts w:ascii="Arial" w:cs="Arial" w:eastAsia="Arial" w:hAnsi="Arial"/>
          <w:color w:val="333333"/>
          <w:sz w:val="20"/>
          <w:szCs w:val="20"/>
        </w:rPr>
        <w:t xml:space="preserve">Personalidad jurídica vigente, constituida con al menos 1 año de antigüedad a la fecha de postulación.</w:t>
      </w:r>
    </w:p>
    <w:p>
      <w:pPr>
        <w:pStyle w:val="ListParagraph"/>
        <w:numPr>
          <w:ilvl w:val="0"/>
          <w:numId w:val="2"/>
        </w:numPr>
        <w:spacing w:before="40" w:after="40"/>
      </w:pPr>
      <w:r>
        <w:rPr>
          <w:rFonts w:ascii="Arial" w:cs="Arial" w:eastAsia="Arial" w:hAnsi="Arial"/>
          <w:color w:val="333333"/>
          <w:sz w:val="20"/>
          <w:szCs w:val="20"/>
        </w:rPr>
        <w:t xml:space="preserve">Capacidad para comprometer tiempo, personas con poder de decisión y recursos propios al proceso (no únicamente aporte monetario).</w:t>
      </w:r>
    </w:p>
    <w:p>
      <w:pPr>
        <w:pStyle w:val="ListParagraph"/>
        <w:numPr>
          <w:ilvl w:val="0"/>
          <w:numId w:val="2"/>
        </w:numPr>
        <w:spacing w:before="40" w:after="40"/>
      </w:pPr>
      <w:r>
        <w:rPr>
          <w:rFonts w:ascii="Arial" w:cs="Arial" w:eastAsia="Arial" w:hAnsi="Arial"/>
          <w:color w:val="333333"/>
          <w:sz w:val="20"/>
          <w:szCs w:val="20"/>
        </w:rPr>
        <w:t xml:space="preserve">Evidencia de prototipado rápido o MVP que demuestre foco en funcionalidad y aprendizaje.</w:t>
      </w:r>
    </w:p>
    <w:p>
      <w:pPr>
        <w:spacing w:before="100" w:after="0"/>
      </w:pPr>
    </w:p>
    <w:p>
      <w:pPr>
        <w:spacing w:before="180" w:after="80"/>
      </w:pPr>
      <w:r>
        <w:rPr>
          <w:rFonts w:ascii="Arial" w:cs="Arial" w:eastAsia="Arial" w:hAnsi="Arial"/>
          <w:b/>
          <w:bCs/>
          <w:color w:val="1A2535"/>
          <w:sz w:val="22"/>
          <w:szCs w:val="22"/>
        </w:rPr>
        <w:t xml:space="preserve">Perfil de co-investigador</w:t>
      </w:r>
    </w:p>
    <w:p>
      <w:pPr>
        <w:pStyle w:val="ListParagraph"/>
        <w:numPr>
          <w:ilvl w:val="0"/>
          <w:numId w:val="2"/>
        </w:numPr>
        <w:spacing w:before="40" w:after="40"/>
      </w:pPr>
      <w:r>
        <w:rPr>
          <w:rFonts w:ascii="Arial" w:cs="Arial" w:eastAsia="Arial" w:hAnsi="Arial"/>
          <w:color w:val="333333"/>
          <w:sz w:val="20"/>
          <w:szCs w:val="20"/>
        </w:rPr>
        <w:t xml:space="preserve">Tienen una pregunta o tecnología en desarrollo que todavía no tiene forma definitiva.</w:t>
      </w:r>
    </w:p>
    <w:p>
      <w:pPr>
        <w:pStyle w:val="ListParagraph"/>
        <w:numPr>
          <w:ilvl w:val="0"/>
          <w:numId w:val="2"/>
        </w:numPr>
        <w:spacing w:before="40" w:after="40"/>
      </w:pPr>
      <w:r>
        <w:rPr>
          <w:rFonts w:ascii="Arial" w:cs="Arial" w:eastAsia="Arial" w:hAnsi="Arial"/>
          <w:color w:val="333333"/>
          <w:sz w:val="20"/>
          <w:szCs w:val="20"/>
        </w:rPr>
        <w:t xml:space="preserve">Están dispuestas a asumir la incertidumbre como condición de trabajo, no como obstáculo.</w:t>
      </w:r>
    </w:p>
    <w:p>
      <w:pPr>
        <w:pStyle w:val="ListParagraph"/>
        <w:numPr>
          <w:ilvl w:val="0"/>
          <w:numId w:val="2"/>
        </w:numPr>
        <w:spacing w:before="40" w:after="40"/>
      </w:pPr>
      <w:r>
        <w:rPr>
          <w:rFonts w:ascii="Arial" w:cs="Arial" w:eastAsia="Arial" w:hAnsi="Arial"/>
          <w:color w:val="333333"/>
          <w:sz w:val="20"/>
          <w:szCs w:val="20"/>
        </w:rPr>
        <w:t xml:space="preserve">Aceptan que los resultados pueden ser radicalmente distintos a los imaginados al inicio.</w:t>
      </w:r>
    </w:p>
    <w:p>
      <w:pPr>
        <w:pStyle w:val="ListParagraph"/>
        <w:numPr>
          <w:ilvl w:val="0"/>
          <w:numId w:val="2"/>
        </w:numPr>
        <w:spacing w:before="40" w:after="40"/>
      </w:pPr>
      <w:r>
        <w:rPr>
          <w:rFonts w:ascii="Arial" w:cs="Arial" w:eastAsia="Arial" w:hAnsi="Arial"/>
          <w:color w:val="333333"/>
          <w:sz w:val="20"/>
          <w:szCs w:val="20"/>
        </w:rPr>
        <w:t xml:space="preserve">Han realizado un análisis del problema que abordan: conocen la frustración real de sus usuarios y tienen hipótesis sin probar.</w:t>
      </w:r>
    </w:p>
    <w:p>
      <w:pPr>
        <w:pStyle w:val="ListParagraph"/>
        <w:numPr>
          <w:ilvl w:val="0"/>
          <w:numId w:val="2"/>
        </w:numPr>
        <w:spacing w:before="40" w:after="40"/>
      </w:pPr>
      <w:r>
        <w:rPr>
          <w:rFonts w:ascii="Arial" w:cs="Arial" w:eastAsia="Arial" w:hAnsi="Arial"/>
          <w:color w:val="333333"/>
          <w:sz w:val="20"/>
          <w:szCs w:val="20"/>
        </w:rPr>
        <w:t xml:space="preserve">Están dispuestas a documentar y publicar los aprendizajes del proceso, incluyendo los callejones sin salida.</w:t>
      </w:r>
    </w:p>
    <w:p>
      <w:pPr>
        <w:spacing w:before="100" w:after="0"/>
      </w:pPr>
    </w:p>
    <w:p>
      <w:pPr>
        <w:spacing w:before="180" w:after="80"/>
      </w:pPr>
      <w:r>
        <w:rPr>
          <w:rFonts w:ascii="Arial" w:cs="Arial" w:eastAsia="Arial" w:hAnsi="Arial"/>
          <w:b/>
          <w:bCs/>
          <w:color w:val="1A2535"/>
          <w:sz w:val="22"/>
          <w:szCs w:val="22"/>
        </w:rPr>
        <w:t xml:space="preserve">Áreas de interés prioritarias</w:t>
      </w:r>
    </w:p>
    <w:p>
      <w:pPr>
        <w:spacing w:before="60" w:after="60"/>
      </w:pPr>
      <w:r>
        <w:rPr>
          <w:rFonts w:ascii="Arial" w:cs="Arial" w:eastAsia="Arial" w:hAnsi="Arial"/>
          <w:color w:val="333333"/>
          <w:sz w:val="20"/>
          <w:szCs w:val="20"/>
        </w:rPr>
        <w:t xml:space="preserve">Tecnologías inmersivas, inteligencia artificial aplicada a la creación, biofeedback y sistemas sensoriales, interfaces culturales, audiovisual interactivo, patrimonio digital, diseño especulativo y robótica expresiva. Esta lista no es exhaustiva: si tu startup trabaja en la intersección entre tecnología y experiencia humana, hay espacio para conversar.</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Borders>
              <w:top w:val="none" w:color="FFFFFF" w:sz="0"/>
              <w:left w:val="none" w:color="FFFFFF" w:sz="0"/>
              <w:bottom w:val="none" w:color="FFFFFF" w:sz="0"/>
              <w:right w:val="none" w:color="FFFFFF" w:sz="0"/>
            </w:tcBorders>
            <w:shd w:fill="C0392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Importante</w:t>
            </w:r>
          </w:p>
        </w:tc>
        <w:tc>
          <w:tcPr>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r>
              <w:rPr>
                <w:rFonts w:ascii="Arial" w:cs="Arial" w:eastAsia="Arial" w:hAnsi="Arial"/>
                <w:color w:val="333333"/>
                <w:sz w:val="20"/>
                <w:szCs w:val="20"/>
              </w:rPr>
              <w:t xml:space="preserve">No postules si buscas validar una idea ya terminada, conseguir visibilidad a bajo costo, o si esperas certezas sobre el resultado final. Esta residencia es para quienes están dispuestos a no saber, y a trabajar rigurosamente desde esa posición.</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535" w:val="clear"/>
            <w:tcMar>
              <w:top w:type="dxa" w:w="140"/>
              <w:left w:type="dxa" w:w="200"/>
              <w:bottom w:type="dxa" w:w="140"/>
              <w:right w:type="dxa" w:w="200"/>
            </w:tcMar>
          </w:tcPr>
          <w:p>
            <w:pPr>
              <w:jc w:val="left"/>
            </w:pPr>
            <w:r>
              <w:rPr>
                <w:rFonts w:ascii="Arial" w:cs="Arial" w:eastAsia="Arial" w:hAnsi="Arial"/>
                <w:b/>
                <w:bCs/>
                <w:color w:val="FFFFFF"/>
                <w:sz w:val="26"/>
                <w:szCs w:val="26"/>
              </w:rPr>
              <w:t xml:space="preserve">03. LA OBRA TECNOCREATIVA COMO HORIZONTE COMPARTIDO</w:t>
            </w:r>
          </w:p>
        </w:tc>
      </w:tr>
    </w:tbl>
    <w:p>
      <w:pPr>
        <w:spacing w:before="120" w:after="0"/>
      </w:pPr>
    </w:p>
    <w:p>
      <w:pPr>
        <w:spacing w:before="60" w:after="60"/>
      </w:pPr>
      <w:r>
        <w:rPr>
          <w:rFonts w:ascii="Arial" w:cs="Arial" w:eastAsia="Arial" w:hAnsi="Arial"/>
          <w:color w:val="333333"/>
          <w:sz w:val="20"/>
          <w:szCs w:val="20"/>
        </w:rPr>
        <w:t xml:space="preserve">El concepto organizador de la residencia es la obra de arte total: una producción que no puede ser atribuida a ninguna disciplina por separado, que requiere la colisión real entre arte, tecnología, investigación y contexto social para existir.</w:t>
      </w:r>
    </w:p>
    <w:p>
      <w:pPr>
        <w:spacing w:before="60" w:after="0"/>
      </w:pPr>
    </w:p>
    <w:p>
      <w:pPr>
        <w:spacing w:before="60" w:after="60"/>
      </w:pPr>
      <w:r>
        <w:rPr>
          <w:rFonts w:ascii="Arial" w:cs="Arial" w:eastAsia="Arial" w:hAnsi="Arial"/>
          <w:color w:val="333333"/>
          <w:sz w:val="20"/>
          <w:szCs w:val="20"/>
        </w:rPr>
        <w:t xml:space="preserve">Cada cohorte de residentes trabaja hacia una obra específica, definida conjuntamente al inicio del proceso, con un problema abierto como punto de partida y una exhibición pública como horizonte de validación. La obra no es el producto final: es el medio a través del cual emergen las tecnologías y el conocimiento susceptibles de protección intelectual.</w:t>
      </w:r>
    </w:p>
    <w:p>
      <w:pPr>
        <w:spacing w:before="60" w:after="0"/>
      </w:pPr>
    </w:p>
    <w:p>
      <w:pPr>
        <w:spacing w:before="60" w:after="60"/>
      </w:pPr>
      <w:r>
        <w:rPr>
          <w:rFonts w:ascii="Arial" w:cs="Arial" w:eastAsia="Arial" w:hAnsi="Arial"/>
          <w:color w:val="333333"/>
          <w:sz w:val="20"/>
          <w:szCs w:val="20"/>
        </w:rPr>
        <w:t xml:space="preserve">Un proyecto que no alcanza su objetivo original pero genera una pregunta transformadora para la industria tiene más valor que uno que cumple métricas predefinidas sin producir conocimiento nuevo.</w:t>
      </w:r>
    </w:p>
    <w:p>
      <w:pPr>
        <w:spacing w:before="60" w:after="0"/>
      </w:pPr>
    </w:p>
    <w:p>
      <w:pPr>
        <w:spacing w:before="60" w:after="60"/>
      </w:pPr>
      <w:r>
        <w:rPr>
          <w:rFonts w:ascii="Arial" w:cs="Arial" w:eastAsia="Arial" w:hAnsi="Arial"/>
          <w:color w:val="333333"/>
          <w:sz w:val="20"/>
          <w:szCs w:val="20"/>
        </w:rPr>
        <w:t xml:space="preserve">La validación pública no es opcional: es el momento en que el prototipo se expone a audiencias reales externas al proyecto, generando retroalimentación genuina que ningún análisis interno puede sustituir.</w:t>
      </w:r>
    </w:p>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535" w:val="clear"/>
            <w:tcMar>
              <w:top w:type="dxa" w:w="140"/>
              <w:left w:type="dxa" w:w="200"/>
              <w:bottom w:type="dxa" w:w="140"/>
              <w:right w:type="dxa" w:w="200"/>
            </w:tcMar>
          </w:tcPr>
          <w:p>
            <w:pPr>
              <w:jc w:val="left"/>
            </w:pPr>
            <w:r>
              <w:rPr>
                <w:rFonts w:ascii="Arial" w:cs="Arial" w:eastAsia="Arial" w:hAnsi="Arial"/>
                <w:b/>
                <w:bCs/>
                <w:color w:val="FFFFFF"/>
                <w:sz w:val="26"/>
                <w:szCs w:val="26"/>
              </w:rPr>
              <w:t xml:space="preserve">04. BENEFICIOS DE LA RESIDENCIA</w:t>
            </w:r>
          </w:p>
        </w:tc>
      </w:tr>
    </w:tbl>
    <w:p>
      <w:pPr>
        <w:spacing w:before="120" w:after="0"/>
      </w:pPr>
    </w:p>
    <w:p>
      <w:pPr>
        <w:spacing w:before="60" w:after="60"/>
      </w:pPr>
      <w:r>
        <w:rPr>
          <w:rFonts w:ascii="Arial" w:cs="Arial" w:eastAsia="Arial" w:hAnsi="Arial"/>
          <w:color w:val="333333"/>
          <w:sz w:val="20"/>
          <w:szCs w:val="20"/>
        </w:rPr>
        <w:t xml:space="preserve">Los residentes seleccionados acceden a un conjunto integrado de recursos, colaboraciones y oportunidades. A continuación se detallan sus componentes principales; las condiciones específicas de cada uno quedan establecidas en el convenio de residencia que ambas partes suscriben al inicio.</w:t>
      </w:r>
    </w:p>
    <w:p>
      <w:pPr>
        <w:spacing w:before="120" w:after="0"/>
      </w:pPr>
    </w:p>
    <w:p>
      <w:pPr>
        <w:spacing w:before="180" w:after="80"/>
      </w:pPr>
      <w:r>
        <w:rPr>
          <w:rFonts w:ascii="Arial" w:cs="Arial" w:eastAsia="Arial" w:hAnsi="Arial"/>
          <w:b/>
          <w:bCs/>
          <w:color w:val="1A2535"/>
          <w:sz w:val="22"/>
          <w:szCs w:val="22"/>
        </w:rPr>
        <w:t xml:space="preserve">4.1 Infraestructura y laboratorios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sz w:val="24"/>
                <w:szCs w:val="24"/>
              </w:rPr>
              <w:t xml:space="preserve">🏛</w:t>
            </w:r>
          </w:p>
        </w:tc>
        <w:tc>
          <w:tcPr>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r>
              <w:rPr>
                <w:rFonts w:ascii="Arial" w:cs="Arial" w:eastAsia="Arial" w:hAnsi="Arial"/>
                <w:b/>
                <w:bCs/>
                <w:color w:val="C0392B"/>
                <w:sz w:val="20"/>
                <w:szCs w:val="20"/>
              </w:rPr>
              <w:t xml:space="preserve">Laboratorio CRTIC Santiago</w:t>
            </w:r>
          </w:p>
          <w:p>
            <w:r>
              <w:rPr>
                <w:rFonts w:ascii="Arial" w:cs="Arial" w:eastAsia="Arial" w:hAnsi="Arial"/>
                <w:color w:val="444444"/>
                <w:sz w:val="18"/>
                <w:szCs w:val="18"/>
              </w:rPr>
              <w:t xml:space="preserve">Acceso a infraestructura técnica, equipamiento especializado y espacios de trabajo para desarrollo, prototipado y pruebas.</w:t>
            </w:r>
          </w:p>
        </w:tc>
      </w:tr>
    </w:tbl>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sz w:val="24"/>
                <w:szCs w:val="24"/>
              </w:rPr>
              <w:t xml:space="preserve">🌲</w:t>
            </w:r>
          </w:p>
        </w:tc>
        <w:tc>
          <w:tcPr>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r>
              <w:rPr>
                <w:rFonts w:ascii="Arial" w:cs="Arial" w:eastAsia="Arial" w:hAnsi="Arial"/>
                <w:b/>
                <w:bCs/>
                <w:color w:val="C0392B"/>
                <w:sz w:val="20"/>
                <w:szCs w:val="20"/>
              </w:rPr>
              <w:t xml:space="preserve">Laboratorio CRTIC Pucón</w:t>
            </w:r>
          </w:p>
          <w:p>
            <w:r>
              <w:rPr>
                <w:rFonts w:ascii="Arial" w:cs="Arial" w:eastAsia="Arial" w:hAnsi="Arial"/>
                <w:color w:val="444444"/>
                <w:sz w:val="18"/>
                <w:szCs w:val="18"/>
              </w:rPr>
              <w:t xml:space="preserve">Acceso a entorno natural e infraestructura para proyectos que requieren experimentación en contextos no urbanos, inmersivos o de escala mayor.</w:t>
            </w:r>
          </w:p>
        </w:tc>
      </w:tr>
    </w:tbl>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sz w:val="24"/>
                <w:szCs w:val="24"/>
              </w:rPr>
              <w:t xml:space="preserve">⚙</w:t>
            </w:r>
          </w:p>
        </w:tc>
        <w:tc>
          <w:tcPr>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r>
              <w:rPr>
                <w:rFonts w:ascii="Arial" w:cs="Arial" w:eastAsia="Arial" w:hAnsi="Arial"/>
                <w:b/>
                <w:bCs/>
                <w:color w:val="C0392B"/>
                <w:sz w:val="20"/>
                <w:szCs w:val="20"/>
              </w:rPr>
              <w:t xml:space="preserve">Tecnologías e instrumentos del centro</w:t>
            </w:r>
          </w:p>
          <w:p>
            <w:r>
              <w:rPr>
                <w:rFonts w:ascii="Arial" w:cs="Arial" w:eastAsia="Arial" w:hAnsi="Arial"/>
                <w:color w:val="444444"/>
                <w:sz w:val="18"/>
                <w:szCs w:val="18"/>
              </w:rPr>
              <w:t xml:space="preserve">Uso de sistemas de captura, procesamiento y exhibición disponibles en los laboratorios CRTIC, incluyendo herramientas de IA, audiovisual inmersivo y prototipado rápido.</w:t>
            </w:r>
          </w:p>
        </w:tc>
      </w:tr>
    </w:tbl>
    <w:p>
      <w:pPr>
        <w:spacing w:before="120" w:after="0"/>
      </w:pPr>
    </w:p>
    <w:p>
      <w:pPr>
        <w:spacing w:before="180" w:after="80"/>
      </w:pPr>
      <w:r>
        <w:rPr>
          <w:rFonts w:ascii="Arial" w:cs="Arial" w:eastAsia="Arial" w:hAnsi="Arial"/>
          <w:b/>
          <w:bCs/>
          <w:color w:val="1A2535"/>
          <w:sz w:val="22"/>
          <w:szCs w:val="22"/>
        </w:rPr>
        <w:t xml:space="preserve">4.2 Integración al equipo de investigación</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sz w:val="24"/>
                <w:szCs w:val="24"/>
              </w:rPr>
              <w:t xml:space="preserve">🔬</w:t>
            </w:r>
          </w:p>
        </w:tc>
        <w:tc>
          <w:tcPr>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r>
              <w:rPr>
                <w:rFonts w:ascii="Arial" w:cs="Arial" w:eastAsia="Arial" w:hAnsi="Arial"/>
                <w:b/>
                <w:bCs/>
                <w:color w:val="C0392B"/>
                <w:sz w:val="20"/>
                <w:szCs w:val="20"/>
              </w:rPr>
              <w:t xml:space="preserve">Membresía en el equipo tecnocreativo CRTIC</w:t>
            </w:r>
          </w:p>
          <w:p>
            <w:r>
              <w:rPr>
                <w:rFonts w:ascii="Arial" w:cs="Arial" w:eastAsia="Arial" w:hAnsi="Arial"/>
                <w:color w:val="444444"/>
                <w:sz w:val="18"/>
                <w:szCs w:val="18"/>
              </w:rPr>
              <w:t xml:space="preserve">Incorporación formal como miembros del equipo de investigación durante el período de residencia, con acceso a recursos, conversaciones y redes internas del centro.</w:t>
            </w:r>
          </w:p>
        </w:tc>
      </w:tr>
    </w:tbl>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sz w:val="24"/>
                <w:szCs w:val="24"/>
              </w:rPr>
              <w:t xml:space="preserve">🤝</w:t>
            </w:r>
          </w:p>
        </w:tc>
        <w:tc>
          <w:tcPr>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r>
              <w:rPr>
                <w:rFonts w:ascii="Arial" w:cs="Arial" w:eastAsia="Arial" w:hAnsi="Arial"/>
                <w:b/>
                <w:bCs/>
                <w:color w:val="C0392B"/>
                <w:sz w:val="20"/>
                <w:szCs w:val="20"/>
              </w:rPr>
              <w:t xml:space="preserve">Acompañamiento metodológico Art Thinking</w:t>
            </w:r>
          </w:p>
          <w:p>
            <w:r>
              <w:rPr>
                <w:rFonts w:ascii="Arial" w:cs="Arial" w:eastAsia="Arial" w:hAnsi="Arial"/>
                <w:color w:val="444444"/>
                <w:sz w:val="18"/>
                <w:szCs w:val="18"/>
              </w:rPr>
              <w:t xml:space="preserve">Apoyo directo del equipo CRTIC en la aplicación de la metodología: talleres, sesiones de reformulación, revisiones de proceso y diagnósticos tecnocreativos.</w:t>
            </w:r>
          </w:p>
        </w:tc>
      </w:tr>
    </w:tbl>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sz w:val="24"/>
                <w:szCs w:val="24"/>
              </w:rPr>
              <w:t xml:space="preserve">📚</w:t>
            </w:r>
          </w:p>
        </w:tc>
        <w:tc>
          <w:tcPr>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r>
              <w:rPr>
                <w:rFonts w:ascii="Arial" w:cs="Arial" w:eastAsia="Arial" w:hAnsi="Arial"/>
                <w:b/>
                <w:bCs/>
                <w:color w:val="C0392B"/>
                <w:sz w:val="20"/>
                <w:szCs w:val="20"/>
              </w:rPr>
              <w:t xml:space="preserve">Red de conocimiento e investigadores</w:t>
            </w:r>
          </w:p>
          <w:p>
            <w:r>
              <w:rPr>
                <w:rFonts w:ascii="Arial" w:cs="Arial" w:eastAsia="Arial" w:hAnsi="Arial"/>
                <w:color w:val="444444"/>
                <w:sz w:val="18"/>
                <w:szCs w:val="18"/>
              </w:rPr>
              <w:t xml:space="preserve">Acceso a la red de investigadores, artistas, tecnólogos e instituciones con quienes CRTIC colabora en Chile y el extranjero.</w:t>
            </w:r>
          </w:p>
        </w:tc>
      </w:tr>
    </w:tbl>
    <w:p>
      <w:pPr>
        <w:spacing w:before="120" w:after="0"/>
      </w:pPr>
    </w:p>
    <w:p>
      <w:pPr>
        <w:spacing w:before="180" w:after="80"/>
      </w:pPr>
      <w:r>
        <w:rPr>
          <w:rFonts w:ascii="Arial" w:cs="Arial" w:eastAsia="Arial" w:hAnsi="Arial"/>
          <w:b/>
          <w:bCs/>
          <w:color w:val="1A2535"/>
          <w:sz w:val="22"/>
          <w:szCs w:val="22"/>
        </w:rPr>
        <w:t xml:space="preserve">4.3 Propiedad intelectual co-creada</w:t>
      </w:r>
    </w:p>
    <w:p>
      <w:pPr>
        <w:spacing w:before="80" w:after="0"/>
      </w:pPr>
    </w:p>
    <w:p>
      <w:pPr>
        <w:spacing w:before="60" w:after="60"/>
      </w:pPr>
      <w:r>
        <w:rPr>
          <w:rFonts w:ascii="Arial" w:cs="Arial" w:eastAsia="Arial" w:hAnsi="Arial"/>
          <w:color w:val="333333"/>
          <w:sz w:val="20"/>
          <w:szCs w:val="20"/>
        </w:rPr>
        <w:t xml:space="preserve">Este es el núcleo económico de la residencia, no un beneficio simbólico. La propiedad intelectual que emerge de la exploración conjunta es un activo real: registrable, licenciable, transferible. El modelo de distribución se formaliza en el convenio de residencia y sigue estos principios:</w:t>
      </w:r>
    </w:p>
    <w:p>
      <w:pPr>
        <w:spacing w:before="80" w:after="0"/>
      </w:pPr>
    </w:p>
    <w:p>
      <w:pPr>
        <w:pStyle w:val="ListParagraph"/>
        <w:numPr>
          <w:ilvl w:val="0"/>
          <w:numId w:val="2"/>
        </w:numPr>
        <w:spacing w:before="40" w:after="40"/>
      </w:pPr>
      <w:r>
        <w:rPr>
          <w:rFonts w:ascii="Arial" w:cs="Arial" w:eastAsia="Arial" w:hAnsi="Arial"/>
          <w:color w:val="333333"/>
          <w:sz w:val="20"/>
          <w:szCs w:val="20"/>
        </w:rPr>
        <w:t xml:space="preserve">La tecnología desarrollada exclusivamente por el residente durante la residencia es de su titularidad.</w:t>
      </w:r>
    </w:p>
    <w:p>
      <w:pPr>
        <w:pStyle w:val="ListParagraph"/>
        <w:numPr>
          <w:ilvl w:val="0"/>
          <w:numId w:val="2"/>
        </w:numPr>
        <w:spacing w:before="40" w:after="40"/>
      </w:pPr>
      <w:r>
        <w:rPr>
          <w:rFonts w:ascii="Arial" w:cs="Arial" w:eastAsia="Arial" w:hAnsi="Arial"/>
          <w:color w:val="333333"/>
          <w:sz w:val="20"/>
          <w:szCs w:val="20"/>
        </w:rPr>
        <w:t xml:space="preserve">La tecnología desarrollada conjuntamente es de co-titularidad, en proporción documentada a los aportes de cada parte. Ambas partes acordarán al inicio del proceso los mecanismos de registro de aportes y los criterios para resolver eventuales disputas sobre proporciones.</w:t>
      </w:r>
    </w:p>
    <w:p>
      <w:pPr>
        <w:pStyle w:val="ListParagraph"/>
        <w:numPr>
          <w:ilvl w:val="0"/>
          <w:numId w:val="2"/>
        </w:numPr>
        <w:spacing w:before="40" w:after="40"/>
      </w:pPr>
      <w:r>
        <w:rPr>
          <w:rFonts w:ascii="Arial" w:cs="Arial" w:eastAsia="Arial" w:hAnsi="Arial"/>
          <w:color w:val="333333"/>
          <w:sz w:val="20"/>
          <w:szCs w:val="20"/>
        </w:rPr>
        <w:t xml:space="preserve">La obra resultante —entendida como la combinación creativa de ambos aportes— es de co-titularidad en partes iguales. Esta es la condición base que protege a ambas partes por igual y no es negociable a la baja.</w:t>
      </w:r>
    </w:p>
    <w:p>
      <w:pPr>
        <w:pStyle w:val="ListParagraph"/>
        <w:numPr>
          <w:ilvl w:val="0"/>
          <w:numId w:val="2"/>
        </w:numPr>
        <w:spacing w:before="40" w:after="40"/>
      </w:pPr>
      <w:r>
        <w:rPr>
          <w:rFonts w:ascii="Arial" w:cs="Arial" w:eastAsia="Arial" w:hAnsi="Arial"/>
          <w:color w:val="333333"/>
          <w:sz w:val="20"/>
          <w:szCs w:val="20"/>
        </w:rPr>
        <w:t xml:space="preserve">CRTIC apoya activamente el proceso de registro ante INAPI u organismos internacionales, asumiendo los costos de registro cuando sea co-titular.</w:t>
      </w:r>
    </w:p>
    <w:p>
      <w:pPr>
        <w:pStyle w:val="ListParagraph"/>
        <w:numPr>
          <w:ilvl w:val="0"/>
          <w:numId w:val="2"/>
        </w:numPr>
        <w:spacing w:before="40" w:after="40"/>
      </w:pPr>
      <w:r>
        <w:rPr>
          <w:rFonts w:ascii="Arial" w:cs="Arial" w:eastAsia="Arial" w:hAnsi="Arial"/>
          <w:color w:val="333333"/>
          <w:sz w:val="20"/>
          <w:szCs w:val="20"/>
        </w:rPr>
        <w:t xml:space="preserve">Los spin-offs tecnológicos derivados de la residencia seguirán la misma lógica de titularidad proporcional a los aportes documentados.</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Borders>
              <w:top w:val="none" w:color="FFFFFF" w:sz="0"/>
              <w:left w:val="none" w:color="FFFFFF" w:sz="0"/>
              <w:bottom w:val="none" w:color="FFFFFF" w:sz="0"/>
              <w:right w:val="none" w:color="FFFFFF" w:sz="0"/>
            </w:tcBorders>
            <w:shd w:fill="C0392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Retorno real</w:t>
            </w:r>
          </w:p>
        </w:tc>
        <w:tc>
          <w:tcPr>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r>
              <w:rPr>
                <w:rFonts w:ascii="Arial" w:cs="Arial" w:eastAsia="Arial" w:hAnsi="Arial"/>
                <w:color w:val="333333"/>
                <w:sz w:val="20"/>
                <w:szCs w:val="20"/>
              </w:rPr>
              <w:t xml:space="preserve">Esta residencia no es trabajo gratuito a cambio de visibilidad. El retorno toma tres formas concretas: (1) propiedad intelectual co-titulada sobre la obra —activo registrable y licenciable—; (2) honorarios por participación en proyectos con clientes de CRTIC, en condiciones establecidas en el convenio; y (3) patrocinio institucional para proyectos propios de la startup. El convenio de residencia detalla las condiciones específicas antes de que cualquiera de las partes se comprometa.</w:t>
            </w:r>
          </w:p>
        </w:tc>
      </w:tr>
    </w:tbl>
    <w:p>
      <w:pPr>
        <w:spacing w:before="120" w:after="0"/>
      </w:pPr>
    </w:p>
    <w:p>
      <w:pPr>
        <w:spacing w:before="180" w:after="80"/>
      </w:pPr>
      <w:r>
        <w:rPr>
          <w:rFonts w:ascii="Arial" w:cs="Arial" w:eastAsia="Arial" w:hAnsi="Arial"/>
          <w:b/>
          <w:bCs/>
          <w:color w:val="1A2535"/>
          <w:sz w:val="22"/>
          <w:szCs w:val="22"/>
        </w:rPr>
        <w:t xml:space="preserve">4.4 Proyectos con empresas e instituciones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sz w:val="24"/>
                <w:szCs w:val="24"/>
              </w:rPr>
              <w:t xml:space="preserve">💼</w:t>
            </w:r>
          </w:p>
        </w:tc>
        <w:tc>
          <w:tcPr>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r>
              <w:rPr>
                <w:rFonts w:ascii="Arial" w:cs="Arial" w:eastAsia="Arial" w:hAnsi="Arial"/>
                <w:b/>
                <w:bCs/>
                <w:color w:val="C0392B"/>
                <w:sz w:val="20"/>
                <w:szCs w:val="20"/>
              </w:rPr>
              <w:t xml:space="preserve">Invitación a proyectos pagados con clientes privados</w:t>
            </w:r>
          </w:p>
          <w:p>
            <w:r>
              <w:rPr>
                <w:rFonts w:ascii="Arial" w:cs="Arial" w:eastAsia="Arial" w:hAnsi="Arial"/>
                <w:color w:val="444444"/>
                <w:sz w:val="18"/>
                <w:szCs w:val="18"/>
              </w:rPr>
              <w:t xml:space="preserve">Los residentes pueden ser convocados a participar —como colaboradores especializados y a honorarios— en proyectos que CRTIC desarrolla con empresas privadas e instituciones públicas en los sectores de minería, salud, retail, forestal, manufactura y cultura.</w:t>
            </w:r>
          </w:p>
        </w:tc>
      </w:tr>
    </w:tbl>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sz w:val="24"/>
                <w:szCs w:val="24"/>
              </w:rPr>
              <w:t xml:space="preserve">🏗</w:t>
            </w:r>
          </w:p>
        </w:tc>
        <w:tc>
          <w:tcPr>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r>
              <w:rPr>
                <w:rFonts w:ascii="Arial" w:cs="Arial" w:eastAsia="Arial" w:hAnsi="Arial"/>
                <w:b/>
                <w:bCs/>
                <w:color w:val="C0392B"/>
                <w:sz w:val="20"/>
                <w:szCs w:val="20"/>
              </w:rPr>
              <w:t xml:space="preserve">Prioridad en proyectos de Impulso Tecnocreativo</w:t>
            </w:r>
          </w:p>
          <w:p>
            <w:r>
              <w:rPr>
                <w:rFonts w:ascii="Arial" w:cs="Arial" w:eastAsia="Arial" w:hAnsi="Arial"/>
                <w:color w:val="444444"/>
                <w:sz w:val="18"/>
                <w:szCs w:val="18"/>
              </w:rPr>
              <w:t xml:space="preserve">Primera opción de invitación para proyectos del Laboratorio de Impulso Tecnocreativo, donde se diseñan y transfieren soluciones tecnocreativas a empresas tradicionales en procesos de transformación digital.</w:t>
            </w:r>
          </w:p>
        </w:tc>
      </w:tr>
    </w:tbl>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sz w:val="24"/>
                <w:szCs w:val="24"/>
              </w:rPr>
              <w:t xml:space="preserve">🌐</w:t>
            </w:r>
          </w:p>
        </w:tc>
        <w:tc>
          <w:tcPr>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r>
              <w:rPr>
                <w:rFonts w:ascii="Arial" w:cs="Arial" w:eastAsia="Arial" w:hAnsi="Arial"/>
                <w:b/>
                <w:bCs/>
                <w:color w:val="C0392B"/>
                <w:sz w:val="20"/>
                <w:szCs w:val="20"/>
              </w:rPr>
              <w:t xml:space="preserve">Acceso a red de clientes e instituciones CRTIC</w:t>
            </w:r>
          </w:p>
          <w:p>
            <w:r>
              <w:rPr>
                <w:rFonts w:ascii="Arial" w:cs="Arial" w:eastAsia="Arial" w:hAnsi="Arial"/>
                <w:color w:val="444444"/>
                <w:sz w:val="18"/>
                <w:szCs w:val="18"/>
              </w:rPr>
              <w:t xml:space="preserve">Exposición directa ante la cartera de organizaciones con quienes CRTIC trabaja, con posibilidad de generar relaciones comerciales independientes a partir de esa exposición.</w:t>
            </w:r>
          </w:p>
        </w:tc>
      </w:tr>
    </w:tbl>
    <w:p>
      <w:pPr>
        <w:spacing w:before="120" w:after="0"/>
      </w:pPr>
    </w:p>
    <w:p>
      <w:pPr>
        <w:spacing w:before="180" w:after="80"/>
      </w:pPr>
      <w:r>
        <w:rPr>
          <w:rFonts w:ascii="Arial" w:cs="Arial" w:eastAsia="Arial" w:hAnsi="Arial"/>
          <w:b/>
          <w:bCs/>
          <w:color w:val="1A2535"/>
          <w:sz w:val="22"/>
          <w:szCs w:val="22"/>
        </w:rPr>
        <w:t xml:space="preserve">4.5 Visibilidad, difusión y patrocinio</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sz w:val="24"/>
                <w:szCs w:val="24"/>
              </w:rPr>
              <w:t xml:space="preserve">📣</w:t>
            </w:r>
          </w:p>
        </w:tc>
        <w:tc>
          <w:tcPr>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r>
              <w:rPr>
                <w:rFonts w:ascii="Arial" w:cs="Arial" w:eastAsia="Arial" w:hAnsi="Arial"/>
                <w:b/>
                <w:bCs/>
                <w:color w:val="C0392B"/>
                <w:sz w:val="20"/>
                <w:szCs w:val="20"/>
              </w:rPr>
              <w:t xml:space="preserve">Promoción y difusión institucional</w:t>
            </w:r>
          </w:p>
          <w:p>
            <w:r>
              <w:rPr>
                <w:rFonts w:ascii="Arial" w:cs="Arial" w:eastAsia="Arial" w:hAnsi="Arial"/>
                <w:color w:val="444444"/>
                <w:sz w:val="18"/>
                <w:szCs w:val="18"/>
              </w:rPr>
              <w:t xml:space="preserve">CRTIC comunica activamente la participación del residente en sus canales oficiales, eventos, publicaciones y materiales de difusión, posicionando a la startup en el ecosistema de innovación tecnocreativa de referencia en Chile.</w:t>
            </w:r>
          </w:p>
        </w:tc>
      </w:tr>
    </w:tbl>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sz w:val="24"/>
                <w:szCs w:val="24"/>
              </w:rPr>
              <w:t xml:space="preserve">🎭</w:t>
            </w:r>
          </w:p>
        </w:tc>
        <w:tc>
          <w:tcPr>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r>
              <w:rPr>
                <w:rFonts w:ascii="Arial" w:cs="Arial" w:eastAsia="Arial" w:hAnsi="Arial"/>
                <w:b/>
                <w:bCs/>
                <w:color w:val="C0392B"/>
                <w:sz w:val="20"/>
                <w:szCs w:val="20"/>
              </w:rPr>
              <w:t xml:space="preserve">Exhibición pública de la obra</w:t>
            </w:r>
          </w:p>
          <w:p>
            <w:r>
              <w:rPr>
                <w:rFonts w:ascii="Arial" w:cs="Arial" w:eastAsia="Arial" w:hAnsi="Arial"/>
                <w:color w:val="444444"/>
                <w:sz w:val="18"/>
                <w:szCs w:val="18"/>
              </w:rPr>
              <w:t xml:space="preserve">La obra co-creada se valida ante audiencias reales en espacios públicos o culturales de relevancia. Esta exhibición constituye un hito de posicionamiento significativo para las startups residentes.</w:t>
            </w:r>
          </w:p>
        </w:tc>
      </w:tr>
    </w:tbl>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sz w:val="24"/>
                <w:szCs w:val="24"/>
              </w:rPr>
              <w:t xml:space="preserve">🏅</w:t>
            </w:r>
          </w:p>
        </w:tc>
        <w:tc>
          <w:tcPr>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r>
              <w:rPr>
                <w:rFonts w:ascii="Arial" w:cs="Arial" w:eastAsia="Arial" w:hAnsi="Arial"/>
                <w:b/>
                <w:bCs/>
                <w:color w:val="C0392B"/>
                <w:sz w:val="20"/>
                <w:szCs w:val="20"/>
              </w:rPr>
              <w:t xml:space="preserve">Patrocinio institucional de proyectos externos</w:t>
            </w:r>
          </w:p>
          <w:p>
            <w:r>
              <w:rPr>
                <w:rFonts w:ascii="Arial" w:cs="Arial" w:eastAsia="Arial" w:hAnsi="Arial"/>
                <w:color w:val="444444"/>
                <w:sz w:val="18"/>
                <w:szCs w:val="18"/>
              </w:rPr>
              <w:t xml:space="preserve">CRTIC puede otorgar respaldo institucional —en la forma de aval de nombre y red, sin implicar aporte financiero— a proyectos externos de los residentes coherentes con la misión del centro, sin exigir participación en sus resultados.</w:t>
            </w:r>
          </w:p>
        </w:tc>
      </w:tr>
    </w:tbl>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sz w:val="24"/>
                <w:szCs w:val="24"/>
              </w:rPr>
              <w:t xml:space="preserve">📰</w:t>
            </w:r>
          </w:p>
        </w:tc>
        <w:tc>
          <w:tcPr>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r>
              <w:rPr>
                <w:rFonts w:ascii="Arial" w:cs="Arial" w:eastAsia="Arial" w:hAnsi="Arial"/>
                <w:b/>
                <w:bCs/>
                <w:color w:val="C0392B"/>
                <w:sz w:val="20"/>
                <w:szCs w:val="20"/>
              </w:rPr>
              <w:t xml:space="preserve">Documentación y publicación del proceso</w:t>
            </w:r>
          </w:p>
          <w:p>
            <w:r>
              <w:rPr>
                <w:rFonts w:ascii="Arial" w:cs="Arial" w:eastAsia="Arial" w:hAnsi="Arial"/>
                <w:color w:val="444444"/>
                <w:sz w:val="18"/>
                <w:szCs w:val="18"/>
              </w:rPr>
              <w:t xml:space="preserve">El proceso de investigación se documenta con rigor metodológico. Los residentes figuran en los créditos y co-autoría de los informes, publicaciones y materiales que CRTIC produce a partir de la residencia.</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535" w:val="clear"/>
            <w:tcMar>
              <w:top w:type="dxa" w:w="140"/>
              <w:left w:type="dxa" w:w="200"/>
              <w:bottom w:type="dxa" w:w="140"/>
              <w:right w:type="dxa" w:w="200"/>
            </w:tcMar>
          </w:tcPr>
          <w:p>
            <w:pPr>
              <w:jc w:val="left"/>
            </w:pPr>
            <w:r>
              <w:rPr>
                <w:rFonts w:ascii="Arial" w:cs="Arial" w:eastAsia="Arial" w:hAnsi="Arial"/>
                <w:b/>
                <w:bCs/>
                <w:color w:val="FFFFFF"/>
                <w:sz w:val="26"/>
                <w:szCs w:val="26"/>
              </w:rPr>
              <w:t xml:space="preserve">05. LO QUE ESPERAMOS DE LOS RESIDENTES</w:t>
            </w:r>
          </w:p>
        </w:tc>
      </w:tr>
    </w:tbl>
    <w:p>
      <w:pPr>
        <w:spacing w:before="120" w:after="0"/>
      </w:pPr>
    </w:p>
    <w:p>
      <w:pPr>
        <w:spacing w:before="60" w:after="60"/>
      </w:pPr>
      <w:r>
        <w:rPr>
          <w:rFonts w:ascii="Arial" w:cs="Arial" w:eastAsia="Arial" w:hAnsi="Arial"/>
          <w:color w:val="333333"/>
          <w:sz w:val="20"/>
          <w:szCs w:val="20"/>
        </w:rPr>
        <w:t xml:space="preserve">Una residencia no es un servicio. Es una alianza donde ambas partes asumen riesgo. Estas son las condiciones mínimas que esperamos de quienes se suman:</w:t>
      </w:r>
    </w:p>
    <w:p>
      <w:pPr>
        <w:spacing w:before="80" w:after="0"/>
      </w:pPr>
    </w:p>
    <w:p>
      <w:pPr>
        <w:pStyle w:val="ListParagraph"/>
        <w:numPr>
          <w:ilvl w:val="0"/>
          <w:numId w:val="2"/>
        </w:numPr>
        <w:spacing w:before="40" w:after="40"/>
      </w:pPr>
      <w:r>
        <w:rPr>
          <w:rFonts w:ascii="Arial" w:cs="Arial" w:eastAsia="Arial" w:hAnsi="Arial"/>
          <w:color w:val="333333"/>
          <w:sz w:val="20"/>
          <w:szCs w:val="20"/>
        </w:rPr>
        <w:t xml:space="preserve">Dedicación real: tiempo, personas con capacidad de decisión y recursos propios comprometidos al proceso, no solo participación nominal.</w:t>
      </w:r>
    </w:p>
    <w:p>
      <w:pPr>
        <w:pStyle w:val="ListParagraph"/>
        <w:numPr>
          <w:ilvl w:val="0"/>
          <w:numId w:val="2"/>
        </w:numPr>
        <w:spacing w:before="40" w:after="40"/>
      </w:pPr>
      <w:r>
        <w:rPr>
          <w:rFonts w:ascii="Arial" w:cs="Arial" w:eastAsia="Arial" w:hAnsi="Arial"/>
          <w:color w:val="333333"/>
          <w:sz w:val="20"/>
          <w:szCs w:val="20"/>
        </w:rPr>
        <w:t xml:space="preserve">Tolerancia a la incertidumbre: disposición a que los resultados sean distintos —y potencialmente más interesantes— que los esperados al inicio.</w:t>
      </w:r>
    </w:p>
    <w:p>
      <w:pPr>
        <w:pStyle w:val="ListParagraph"/>
        <w:numPr>
          <w:ilvl w:val="0"/>
          <w:numId w:val="2"/>
        </w:numPr>
        <w:spacing w:before="40" w:after="40"/>
      </w:pPr>
      <w:r>
        <w:rPr>
          <w:rFonts w:ascii="Arial" w:cs="Arial" w:eastAsia="Arial" w:hAnsi="Arial"/>
          <w:color w:val="333333"/>
          <w:sz w:val="20"/>
          <w:szCs w:val="20"/>
        </w:rPr>
        <w:t xml:space="preserve">Transparencia sobre el proceso: disponibilidad para compartir aprendizajes, incluyendo errores, con el equipo CRTIC y, cuando corresponda, con el ecosistema.</w:t>
      </w:r>
    </w:p>
    <w:p>
      <w:pPr>
        <w:pStyle w:val="ListParagraph"/>
        <w:numPr>
          <w:ilvl w:val="0"/>
          <w:numId w:val="2"/>
        </w:numPr>
        <w:spacing w:before="40" w:after="40"/>
      </w:pPr>
      <w:r>
        <w:rPr>
          <w:rFonts w:ascii="Arial" w:cs="Arial" w:eastAsia="Arial" w:hAnsi="Arial"/>
          <w:color w:val="333333"/>
          <w:sz w:val="20"/>
          <w:szCs w:val="20"/>
        </w:rPr>
        <w:t xml:space="preserve">Respeto por la metodología: apertura real a que Art Thinking reformule el encuadre del problema antes de operar sobre él.</w:t>
      </w:r>
    </w:p>
    <w:p>
      <w:pPr>
        <w:pStyle w:val="ListParagraph"/>
        <w:numPr>
          <w:ilvl w:val="0"/>
          <w:numId w:val="2"/>
        </w:numPr>
        <w:spacing w:before="40" w:after="40"/>
      </w:pPr>
      <w:r>
        <w:rPr>
          <w:rFonts w:ascii="Arial" w:cs="Arial" w:eastAsia="Arial" w:hAnsi="Arial"/>
          <w:color w:val="333333"/>
          <w:sz w:val="20"/>
          <w:szCs w:val="20"/>
        </w:rPr>
        <w:t xml:space="preserve">Compromiso con la exhibición pública: participación activa en la validación de la obra ante audiencias reales.</w:t>
      </w:r>
    </w:p>
    <w:p>
      <w:pPr>
        <w:pStyle w:val="ListParagraph"/>
        <w:numPr>
          <w:ilvl w:val="0"/>
          <w:numId w:val="2"/>
        </w:numPr>
        <w:spacing w:before="40" w:after="40"/>
      </w:pPr>
      <w:r>
        <w:rPr>
          <w:rFonts w:ascii="Arial" w:cs="Arial" w:eastAsia="Arial" w:hAnsi="Arial"/>
          <w:color w:val="333333"/>
          <w:sz w:val="20"/>
          <w:szCs w:val="20"/>
        </w:rPr>
        <w:t xml:space="preserve">Respeto y cuidado mutuo: el equipo residente se compromete a mantener un ambiente de respeto con el laboratorio de CRTIC, su personal y cualquier persona con quien interactúe, cumpliendo las normativas y reglamentos de los recintos utilizados.</w:t>
      </w:r>
    </w:p>
    <w:p>
      <w:pPr>
        <w:spacing w:before="100" w:after="0"/>
      </w:pPr>
    </w:p>
    <w:p>
      <w:pPr>
        <w:spacing w:before="60" w:after="60"/>
      </w:pPr>
      <w:r>
        <w:rPr>
          <w:rFonts w:ascii="Arial" w:cs="Arial" w:eastAsia="Arial" w:hAnsi="Arial"/>
          <w:color w:val="555555"/>
          <w:sz w:val="20"/>
          <w:szCs w:val="20"/>
        </w:rPr>
        <w:t xml:space="preserve">"El CRTIC no vende servicios: construye alianzas donde ambas partes asumen riesgo, aportan recursos y comparten los hallazgos." — Decálogo Art Thinking CRTIC</w:t>
      </w:r>
    </w:p>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535" w:val="clear"/>
            <w:tcMar>
              <w:top w:type="dxa" w:w="140"/>
              <w:left w:type="dxa" w:w="200"/>
              <w:bottom w:type="dxa" w:w="140"/>
              <w:right w:type="dxa" w:w="200"/>
            </w:tcMar>
          </w:tcPr>
          <w:p>
            <w:pPr>
              <w:jc w:val="left"/>
            </w:pPr>
            <w:r>
              <w:rPr>
                <w:rFonts w:ascii="Arial" w:cs="Arial" w:eastAsia="Arial" w:hAnsi="Arial"/>
                <w:b/>
                <w:bCs/>
                <w:color w:val="FFFFFF"/>
                <w:sz w:val="26"/>
                <w:szCs w:val="26"/>
              </w:rPr>
              <w:t xml:space="preserve">06. PROCESO DE POSTULACIÓN</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Borders>
              <w:top w:val="none" w:color="FFFFFF" w:sz="0"/>
              <w:left w:val="none" w:color="FFFFFF" w:sz="0"/>
              <w:bottom w:val="none" w:color="FFFFFF" w:sz="0"/>
              <w:right w:val="none" w:color="FFFFFF" w:sz="0"/>
            </w:tcBorders>
            <w:shd w:fill="C0392B" w:val="clear"/>
            <w:tcMar>
              <w:top w:type="dxa" w:w="140"/>
              <w:left w:type="dxa" w:w="160"/>
              <w:bottom w:type="dxa" w:w="140"/>
              <w:right w:type="dxa" w:w="160"/>
            </w:tcMar>
            <w:vAlign w:val="center"/>
          </w:tcPr>
          <w:p>
            <w:pPr>
              <w:jc w:val="center"/>
            </w:pPr>
            <w:r>
              <w:rPr>
                <w:rFonts w:ascii="Arial" w:cs="Arial" w:eastAsia="Arial" w:hAnsi="Arial"/>
                <w:b/>
                <w:bCs/>
                <w:color w:val="FFFFFF"/>
                <w:sz w:val="20"/>
                <w:szCs w:val="20"/>
              </w:rPr>
              <w:t xml:space="preserve">Etapa 1</w:t>
            </w:r>
          </w:p>
        </w:tc>
        <w:tc>
          <w:tcPr>
            <w:tcBorders>
              <w:top w:val="none" w:color="FFFFFF" w:sz="0"/>
              <w:left w:val="none" w:color="FFFFFF" w:sz="0"/>
              <w:bottom w:val="none" w:color="FFFFFF" w:sz="0"/>
              <w:right w:val="none" w:color="FFFFFF" w:sz="0"/>
            </w:tcBorders>
            <w:shd w:fill="F5F5F5" w:val="clear"/>
            <w:tcMar>
              <w:top w:type="dxa" w:w="140"/>
              <w:left w:type="dxa" w:w="200"/>
              <w:bottom w:type="dxa" w:w="140"/>
              <w:right w:type="dxa" w:w="200"/>
            </w:tcMar>
          </w:tcPr>
          <w:p>
            <w:r>
              <w:rPr>
                <w:rFonts w:ascii="Arial" w:cs="Arial" w:eastAsia="Arial" w:hAnsi="Arial"/>
                <w:color w:val="333333"/>
                <w:sz w:val="20"/>
                <w:szCs w:val="20"/>
              </w:rPr>
              <w:t xml:space="preserve">Carta de intención (1–2 páginas): describe tu startup, el problema o tecnología que traes, y la pregunta que todavía no puedes responder solo. No necesitas tener la respuesta. De hecho, es mejor que no la tengas.</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Borders>
              <w:top w:val="none" w:color="FFFFFF" w:sz="0"/>
              <w:left w:val="none" w:color="FFFFFF" w:sz="0"/>
              <w:bottom w:val="none" w:color="FFFFFF" w:sz="0"/>
              <w:right w:val="none" w:color="FFFFFF" w:sz="0"/>
            </w:tcBorders>
            <w:shd w:fill="C0392B" w:val="clear"/>
            <w:tcMar>
              <w:top w:type="dxa" w:w="140"/>
              <w:left w:type="dxa" w:w="160"/>
              <w:bottom w:type="dxa" w:w="140"/>
              <w:right w:type="dxa" w:w="160"/>
            </w:tcMar>
            <w:vAlign w:val="center"/>
          </w:tcPr>
          <w:p>
            <w:pPr>
              <w:jc w:val="center"/>
            </w:pPr>
            <w:r>
              <w:rPr>
                <w:rFonts w:ascii="Arial" w:cs="Arial" w:eastAsia="Arial" w:hAnsi="Arial"/>
                <w:b/>
                <w:bCs/>
                <w:color w:val="FFFFFF"/>
                <w:sz w:val="20"/>
                <w:szCs w:val="20"/>
              </w:rPr>
              <w:t xml:space="preserve">Etapa 2</w:t>
            </w:r>
          </w:p>
        </w:tc>
        <w:tc>
          <w:tcPr>
            <w:tcBorders>
              <w:top w:val="none" w:color="FFFFFF" w:sz="0"/>
              <w:left w:val="none" w:color="FFFFFF" w:sz="0"/>
              <w:bottom w:val="none" w:color="FFFFFF" w:sz="0"/>
              <w:right w:val="none" w:color="FFFFFF" w:sz="0"/>
            </w:tcBorders>
            <w:shd w:fill="F5F5F5" w:val="clear"/>
            <w:tcMar>
              <w:top w:type="dxa" w:w="140"/>
              <w:left w:type="dxa" w:w="200"/>
              <w:bottom w:type="dxa" w:w="140"/>
              <w:right w:type="dxa" w:w="200"/>
            </w:tcMar>
          </w:tcPr>
          <w:p>
            <w:r>
              <w:rPr>
                <w:rFonts w:ascii="Arial" w:cs="Arial" w:eastAsia="Arial" w:hAnsi="Arial"/>
                <w:color w:val="333333"/>
                <w:sz w:val="20"/>
                <w:szCs w:val="20"/>
              </w:rPr>
              <w:t xml:space="preserve">Conversación diagnóstica: sesión de 45 minutos con el equipo de la Dirección de Innovación Tecnocreativa. No es una entrevista de selección estándar. Es una conversación para evaluar compatibilidad metodológica y explorar el potencial de co-investigación.</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Borders>
              <w:top w:val="none" w:color="FFFFFF" w:sz="0"/>
              <w:left w:val="none" w:color="FFFFFF" w:sz="0"/>
              <w:bottom w:val="none" w:color="FFFFFF" w:sz="0"/>
              <w:right w:val="none" w:color="FFFFFF" w:sz="0"/>
            </w:tcBorders>
            <w:shd w:fill="C0392B" w:val="clear"/>
            <w:tcMar>
              <w:top w:type="dxa" w:w="140"/>
              <w:left w:type="dxa" w:w="160"/>
              <w:bottom w:type="dxa" w:w="140"/>
              <w:right w:type="dxa" w:w="160"/>
            </w:tcMar>
            <w:vAlign w:val="center"/>
          </w:tcPr>
          <w:p>
            <w:pPr>
              <w:jc w:val="center"/>
            </w:pPr>
            <w:r>
              <w:rPr>
                <w:rFonts w:ascii="Arial" w:cs="Arial" w:eastAsia="Arial" w:hAnsi="Arial"/>
                <w:b/>
                <w:bCs/>
                <w:color w:val="FFFFFF"/>
                <w:sz w:val="20"/>
                <w:szCs w:val="20"/>
              </w:rPr>
              <w:t xml:space="preserve">Etapa 3</w:t>
            </w:r>
          </w:p>
        </w:tc>
        <w:tc>
          <w:tcPr>
            <w:tcBorders>
              <w:top w:val="none" w:color="FFFFFF" w:sz="0"/>
              <w:left w:val="none" w:color="FFFFFF" w:sz="0"/>
              <w:bottom w:val="none" w:color="FFFFFF" w:sz="0"/>
              <w:right w:val="none" w:color="FFFFFF" w:sz="0"/>
            </w:tcBorders>
            <w:shd w:fill="F5F5F5" w:val="clear"/>
            <w:tcMar>
              <w:top w:type="dxa" w:w="140"/>
              <w:left w:type="dxa" w:w="200"/>
              <w:bottom w:type="dxa" w:w="140"/>
              <w:right w:type="dxa" w:w="200"/>
            </w:tcMar>
          </w:tcPr>
          <w:p>
            <w:r>
              <w:rPr>
                <w:rFonts w:ascii="Arial" w:cs="Arial" w:eastAsia="Arial" w:hAnsi="Arial"/>
                <w:color w:val="333333"/>
                <w:sz w:val="20"/>
                <w:szCs w:val="20"/>
              </w:rPr>
              <w:t xml:space="preserve">Diseño conjunto del proyecto de residencia: si hay compatibilidad, co-diseñamos el alcance, duración, distribución de propiedad intelectual y estructura operativa de la residencia. Solo después de este paso se suscribe el convenio.</w:t>
            </w:r>
          </w:p>
        </w:tc>
      </w:tr>
    </w:tbl>
    <w:p>
      <w:pPr>
        <w:spacing w:before="120" w:after="0"/>
      </w:pPr>
    </w:p>
    <w:p>
      <w:pPr>
        <w:spacing w:before="60" w:after="60"/>
      </w:pPr>
      <w:r>
        <w:rPr>
          <w:rFonts w:ascii="Arial" w:cs="Arial" w:eastAsia="Arial" w:hAnsi="Arial"/>
          <w:color w:val="333333"/>
          <w:sz w:val="20"/>
          <w:szCs w:val="20"/>
        </w:rPr>
        <w:t xml:space="preserve">La convocatoria es permanente. No hay fechas límite fijas: evaluamos postulaciones de forma continua y abrimos nuevas cohortes cuando identificamos una combinación de residentes con potencial de colisión productiva.</w:t>
      </w:r>
    </w:p>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2535" w:val="clear"/>
            <w:tcMar>
              <w:top w:type="dxa" w:w="140"/>
              <w:left w:type="dxa" w:w="200"/>
              <w:bottom w:type="dxa" w:w="140"/>
              <w:right w:type="dxa" w:w="200"/>
            </w:tcMar>
          </w:tcPr>
          <w:p>
            <w:pPr>
              <w:jc w:val="left"/>
            </w:pPr>
            <w:r>
              <w:rPr>
                <w:rFonts w:ascii="Arial" w:cs="Arial" w:eastAsia="Arial" w:hAnsi="Arial"/>
                <w:b/>
                <w:bCs/>
                <w:color w:val="FFFFFF"/>
                <w:sz w:val="26"/>
                <w:szCs w:val="26"/>
              </w:rPr>
              <w:t xml:space="preserve">07. CONTACTO E INFORMACIÓN</w:t>
            </w:r>
          </w:p>
        </w:tc>
      </w:tr>
    </w:tbl>
    <w:p>
      <w:pPr>
        <w:spacing w:before="120" w:after="0"/>
      </w:pPr>
    </w:p>
    <w:p>
      <w:pPr>
        <w:spacing w:before="60" w:after="60"/>
      </w:pPr>
      <w:r>
        <w:rPr>
          <w:rFonts w:ascii="Arial" w:cs="Arial" w:eastAsia="Arial" w:hAnsi="Arial"/>
          <w:color w:val="333333"/>
          <w:sz w:val="20"/>
          <w:szCs w:val="20"/>
        </w:rPr>
        <w:t xml:space="preserve">Para postular o hacer consultas previas, escribe directamente a la Dirección de Innovación Tecnocreativa de CRTIC:</w:t>
      </w:r>
    </w:p>
    <w:p>
      <w:pPr>
        <w:spacing w:before="80" w:after="0"/>
      </w:pPr>
    </w:p>
    <w:p>
      <w:pPr>
        <w:spacing w:before="60" w:after="40"/>
        <w:jc w:val="center"/>
      </w:pPr>
      <w:r>
        <w:rPr>
          <w:rFonts w:ascii="Arial" w:cs="Arial" w:eastAsia="Arial" w:hAnsi="Arial"/>
          <w:b/>
          <w:bCs/>
          <w:color w:val="C0392B"/>
          <w:sz w:val="26"/>
          <w:szCs w:val="26"/>
        </w:rPr>
        <w:t xml:space="preserve">innovacion@crtic.cl</w:t>
      </w:r>
    </w:p>
    <w:p>
      <w:pPr>
        <w:spacing w:before="0" w:after="40"/>
        <w:jc w:val="center"/>
      </w:pPr>
      <w:r>
        <w:rPr>
          <w:rFonts w:ascii="Arial" w:cs="Arial" w:eastAsia="Arial" w:hAnsi="Arial"/>
          <w:color w:val="555555"/>
          <w:sz w:val="22"/>
          <w:szCs w:val="22"/>
        </w:rPr>
        <w:t xml:space="preserve">www.crtic.cl</w:t>
      </w:r>
    </w:p>
    <w:p>
      <w:pPr>
        <w:spacing w:before="0" w:after="40"/>
        <w:jc w:val="center"/>
      </w:pPr>
      <w:r>
        <w:rPr>
          <w:rFonts w:ascii="Arial" w:cs="Arial" w:eastAsia="Arial" w:hAnsi="Arial"/>
          <w:color w:val="777777"/>
          <w:sz w:val="20"/>
          <w:szCs w:val="20"/>
        </w:rPr>
        <w:t xml:space="preserve">Laboratorio Santiago · Laboratorio Pucón · Chile</w:t>
      </w:r>
    </w:p>
    <w:p>
      <w:pPr>
        <w:spacing w:before="160" w:after="0"/>
      </w:pPr>
    </w:p>
    <w:p>
      <w:pPr>
        <w:pBdr>
          <w:top w:val="single" w:color="CCCCCC" w:sz="2" w:space="1"/>
        </w:pBdr>
        <w:spacing w:before="60" w:after="0"/>
        <w:jc w:val="center"/>
      </w:pPr>
      <w:r>
        <w:rPr>
          <w:rFonts w:ascii="Arial" w:cs="Arial" w:eastAsia="Arial" w:hAnsi="Arial"/>
          <w:color w:val="999999"/>
          <w:sz w:val="16"/>
          <w:szCs w:val="16"/>
        </w:rPr>
        <w:t xml:space="preserve">CRTIC - DIRECCIÓN DE INNOVACIÓN @2026</w:t>
      </w:r>
    </w:p>
    <w:sectPr>
      <w:pgSz w:w="11906" w:h="16838" w:orient="portrait"/>
      <w:pgMar w:top="10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2026-03-19T16:36:58.337Z</dcterms:created>
  <dcterms:modified xsi:type="dcterms:W3CDTF">2026-03-19T16:36:58.338Z</dcterms:modified>
</cp:coreProperties>
</file>

<file path=docProps/custom.xml><?xml version="1.0" encoding="utf-8"?>
<Properties xmlns="http://schemas.openxmlformats.org/officeDocument/2006/custom-properties" xmlns:vt="http://schemas.openxmlformats.org/officeDocument/2006/docPropsVTypes"/>
</file>