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77109" w14:textId="77777777" w:rsidR="00C711FD" w:rsidRDefault="00000000">
      <w:pPr>
        <w:spacing w:after="160"/>
      </w:pPr>
      <w:r>
        <w:rPr>
          <w:b/>
          <w:color w:val="182B49"/>
          <w:sz w:val="34"/>
        </w:rPr>
        <w:t>Implementación de un Pipeline de Datos Multicloud y Serverless para la Captura, Persistencia y Análisis Geoespacial del Mercado Inmobiliario en Chía</w:t>
      </w:r>
    </w:p>
    <w:p w14:paraId="75B85F20" w14:textId="77777777" w:rsidR="00C711FD" w:rsidRDefault="00000000">
      <w:pPr>
        <w:spacing w:after="280"/>
        <w:rPr>
          <w:sz w:val="20"/>
        </w:rPr>
      </w:pPr>
      <w:r>
        <w:rPr>
          <w:b/>
          <w:color w:val="2980B9"/>
          <w:sz w:val="24"/>
        </w:rPr>
        <w:t>Herramientas de Computación en la Nube | Cloud Computing Tools</w:t>
      </w:r>
      <w:r>
        <w:rPr>
          <w:b/>
          <w:color w:val="2980B9"/>
          <w:sz w:val="24"/>
        </w:rPr>
        <w:br/>
      </w:r>
      <w:r>
        <w:rPr>
          <w:sz w:val="20"/>
        </w:rPr>
        <w:t>Universidad de La Sabana | Facultad de Ingeniería | Maestría en Analítica Aplicada</w:t>
      </w:r>
      <w:r>
        <w:rPr>
          <w:sz w:val="20"/>
        </w:rPr>
        <w:br/>
        <w:t>Docente: Hugo Franco, Ph.D. | Septiembre de 2026</w:t>
      </w:r>
      <w:r>
        <w:rPr>
          <w:sz w:val="20"/>
        </w:rPr>
        <w:br/>
        <w:t>Repositorio Oficial: https://github.com/estebansabana/cloud-data-pipeline</w:t>
      </w:r>
      <w:r>
        <w:rPr>
          <w:sz w:val="20"/>
        </w:rPr>
        <w:br/>
      </w:r>
      <w:r>
        <w:rPr>
          <w:sz w:val="20"/>
        </w:rPr>
        <w:br/>
        <w:t>Autores del Proyecto:</w:t>
      </w:r>
      <w:r>
        <w:rPr>
          <w:sz w:val="20"/>
        </w:rPr>
        <w:br/>
        <w:t>• Esteban Bejarano Caldas (ID: 0000378389) – Ingeniero de Petróleos</w:t>
      </w:r>
      <w:r>
        <w:rPr>
          <w:sz w:val="20"/>
        </w:rPr>
        <w:br/>
        <w:t>• Fredy Javier Agaton Aguirre (ID: 0000385253) – Ingeniero Catastral y Geodesta</w:t>
      </w:r>
      <w:r>
        <w:rPr>
          <w:sz w:val="20"/>
        </w:rPr>
        <w:br/>
        <w:t>• Anderson Rodrigo Sarmiento Pena (ID: 0000184393) – Administrador de Empresas</w:t>
      </w:r>
    </w:p>
    <w:p w14:paraId="4E8688B0" w14:textId="77777777" w:rsidR="004213A9" w:rsidRDefault="004213A9">
      <w:pPr>
        <w:spacing w:after="280"/>
        <w:rPr>
          <w:sz w:val="20"/>
        </w:rPr>
      </w:pPr>
    </w:p>
    <w:p w14:paraId="400B1CE2" w14:textId="77777777" w:rsidR="004213A9" w:rsidRDefault="004213A9">
      <w:pPr>
        <w:spacing w:after="280"/>
        <w:rPr>
          <w:sz w:val="20"/>
        </w:rPr>
      </w:pPr>
    </w:p>
    <w:p w14:paraId="4AD2450F" w14:textId="77777777" w:rsidR="004213A9" w:rsidRDefault="004213A9">
      <w:pPr>
        <w:spacing w:after="280"/>
        <w:rPr>
          <w:sz w:val="20"/>
        </w:rPr>
      </w:pPr>
    </w:p>
    <w:p w14:paraId="2472C922" w14:textId="77777777" w:rsidR="004213A9" w:rsidRDefault="004213A9">
      <w:pPr>
        <w:spacing w:after="280"/>
        <w:rPr>
          <w:sz w:val="20"/>
        </w:rPr>
      </w:pPr>
    </w:p>
    <w:p w14:paraId="6CF03125" w14:textId="77777777" w:rsidR="004213A9" w:rsidRDefault="004213A9">
      <w:pPr>
        <w:spacing w:after="280"/>
        <w:rPr>
          <w:sz w:val="20"/>
        </w:rPr>
      </w:pPr>
    </w:p>
    <w:p w14:paraId="1A7EA3C3" w14:textId="77777777" w:rsidR="004213A9" w:rsidRDefault="004213A9">
      <w:pPr>
        <w:spacing w:after="280"/>
        <w:rPr>
          <w:sz w:val="20"/>
        </w:rPr>
      </w:pPr>
    </w:p>
    <w:p w14:paraId="1FC9966E" w14:textId="77777777" w:rsidR="004213A9" w:rsidRDefault="004213A9">
      <w:pPr>
        <w:spacing w:after="280"/>
        <w:rPr>
          <w:sz w:val="20"/>
        </w:rPr>
      </w:pPr>
    </w:p>
    <w:p w14:paraId="7F0F3854" w14:textId="77777777" w:rsidR="004213A9" w:rsidRDefault="004213A9">
      <w:pPr>
        <w:spacing w:after="280"/>
        <w:rPr>
          <w:sz w:val="20"/>
        </w:rPr>
      </w:pPr>
    </w:p>
    <w:p w14:paraId="04599952" w14:textId="77777777" w:rsidR="004213A9" w:rsidRDefault="004213A9">
      <w:pPr>
        <w:spacing w:after="280"/>
        <w:rPr>
          <w:sz w:val="20"/>
        </w:rPr>
      </w:pPr>
    </w:p>
    <w:p w14:paraId="5EF038EB" w14:textId="77777777" w:rsidR="004213A9" w:rsidRDefault="004213A9">
      <w:pPr>
        <w:spacing w:after="280"/>
        <w:rPr>
          <w:sz w:val="20"/>
        </w:rPr>
      </w:pPr>
    </w:p>
    <w:p w14:paraId="4C60B321" w14:textId="77777777" w:rsidR="004213A9" w:rsidRDefault="004213A9">
      <w:pPr>
        <w:spacing w:after="280"/>
        <w:rPr>
          <w:sz w:val="20"/>
        </w:rPr>
      </w:pPr>
    </w:p>
    <w:p w14:paraId="0051443D" w14:textId="77777777" w:rsidR="004213A9" w:rsidRDefault="004213A9">
      <w:pPr>
        <w:spacing w:after="280"/>
        <w:rPr>
          <w:sz w:val="20"/>
        </w:rPr>
      </w:pPr>
    </w:p>
    <w:p w14:paraId="2D0BE65A" w14:textId="77777777" w:rsidR="004213A9" w:rsidRDefault="004213A9">
      <w:pPr>
        <w:spacing w:after="280"/>
        <w:rPr>
          <w:sz w:val="20"/>
        </w:rPr>
      </w:pPr>
    </w:p>
    <w:p w14:paraId="1C8839DC" w14:textId="77777777" w:rsidR="004213A9" w:rsidRDefault="004213A9">
      <w:pPr>
        <w:spacing w:after="280"/>
        <w:rPr>
          <w:sz w:val="20"/>
        </w:rPr>
      </w:pPr>
    </w:p>
    <w:p w14:paraId="43D9A6CF" w14:textId="77777777" w:rsidR="004213A9" w:rsidRDefault="004213A9">
      <w:pPr>
        <w:spacing w:after="280"/>
      </w:pPr>
    </w:p>
    <w:p w14:paraId="3D264E61" w14:textId="77777777" w:rsidR="00C711FD" w:rsidRDefault="00000000">
      <w:pPr>
        <w:pStyle w:val="Ttulo1"/>
        <w:spacing w:before="280" w:after="120"/>
      </w:pPr>
      <w:r>
        <w:rPr>
          <w:color w:val="182B49"/>
          <w:sz w:val="27"/>
        </w:rPr>
        <w:lastRenderedPageBreak/>
        <w:t>Resumen (Abstract)</w:t>
      </w:r>
    </w:p>
    <w:p w14:paraId="0199AD8B" w14:textId="000DC678" w:rsidR="00C711FD" w:rsidRDefault="004213A9">
      <w:r>
        <w:t xml:space="preserve">Este reporte </w:t>
      </w:r>
      <w:r w:rsidR="00000000">
        <w:t xml:space="preserve">presenta el diseño, despliegue y validación de una arquitectura de datos desacoplada y multicloud orientada a la ingesta periódica, enriquecimiento geoespacial, almacenamiento inmutable, persistencia relacional y visualización analítica de ofertas de arriendo en Chía, Cundinamarca. La solución articula Amazon Web Services (AWS) y Google Cloud Platform (GCP), empleando cómputo serverless (Function as a Service - FaaS) mediante AWS Lambda, orquestación temporal gobernada por eventos en Amazon EventBridge Scheduler, un Data Lake crudo en Amazon S3, almacenamiento estructurado en Amazon RDS, y visualización interactiva en </w:t>
      </w:r>
      <w:r>
        <w:t>Data</w:t>
      </w:r>
      <w:r w:rsidR="00000000">
        <w:t xml:space="preserve"> Studio y Grafana.</w:t>
      </w:r>
    </w:p>
    <w:p w14:paraId="7FA359DA" w14:textId="2B839607" w:rsidR="00C711FD" w:rsidRDefault="00000000">
      <w:r>
        <w:t>Se incorporó un modelo de dispersión estocástica sobre centroides espaciales (jitter) para garantizar legibilidad cartográfica sin incurrir en costos de APIs de mapas externas, así como transacciones de actualización (upsert) para asegurar la idempotencia operativa. Bajo el marco metodológico de FinOps, la solución se optimizó para no exceder el presupuesto académico de $50 USD mediante la calibración a 250 registros, el apagado oportuno de clústeres transaccionales y la terminación inmediata de instancias elásticas.</w:t>
      </w:r>
    </w:p>
    <w:p w14:paraId="38BAEE6B" w14:textId="474FAB57" w:rsidR="00C711FD" w:rsidRDefault="00000000" w:rsidP="004213A9">
      <w:pPr>
        <w:jc w:val="both"/>
      </w:pPr>
      <w:r>
        <w:rPr>
          <w:b/>
        </w:rPr>
        <w:t xml:space="preserve">Palabras clave: </w:t>
      </w:r>
      <w:r>
        <w:t>Arquitectura Multicloud, AWS Lambda, EventBridge Scheduler, Amazon RDS, Amazon S3</w:t>
      </w:r>
      <w:r w:rsidR="004213A9">
        <w:t xml:space="preserve"> kubernetes</w:t>
      </w:r>
      <w:r>
        <w:t>,</w:t>
      </w:r>
      <w:r w:rsidR="004213A9">
        <w:t xml:space="preserve"> </w:t>
      </w:r>
      <w:r>
        <w:t xml:space="preserve"> Enriquecimiento Espacial, FinOps, Looker Studio, Grafana.</w:t>
      </w:r>
    </w:p>
    <w:p w14:paraId="76594560" w14:textId="384E2CAC" w:rsidR="00C711FD" w:rsidRDefault="00000000">
      <w:pPr>
        <w:pStyle w:val="Ttulo1"/>
        <w:spacing w:before="280" w:after="120"/>
      </w:pPr>
      <w:r>
        <w:rPr>
          <w:color w:val="182B49"/>
          <w:sz w:val="27"/>
        </w:rPr>
        <w:t xml:space="preserve">1. Introducción </w:t>
      </w:r>
    </w:p>
    <w:p w14:paraId="59C77127" w14:textId="77777777" w:rsidR="00C711FD" w:rsidRDefault="00000000" w:rsidP="004213A9">
      <w:pPr>
        <w:jc w:val="both"/>
      </w:pPr>
      <w:r>
        <w:t>El mercado inmobiliario en la Sabana de Bogotá experimenta dinámicas de precios y expansión residencial variables, donde Chía constituye uno de los polos de mayor atracción socioeconómica y habitacional. El monitoreo analítico de estas fluctuaciones tradicionalmente ha dependido de procesos manuales o de la ejecución de scripts locales que descargan datos hacia computadoras personales. Este enfoque convencional presenta limitaciones estructurales: (a) vulnerabilidad a bloqueos perimetrales antibot por parte de portales inmobiliarios que restringen llamadas procedentes de direcciones IP no residenciales o servidores no orquestados; (b) riesgos de seguridad y fuga de credenciales al almacenar llaves y secretos en código plano dentro de entornos de desarrollo locales; (c) acumulación descontrolada de archivos sin esquemas de gobierno inmutable; y (d) costos ociosos generados por servidores virtuales permanentes (IaaS) subutilizados.</w:t>
      </w:r>
    </w:p>
    <w:p w14:paraId="534CD9FB" w14:textId="77777777" w:rsidR="00C711FD" w:rsidRDefault="00000000" w:rsidP="004213A9">
      <w:pPr>
        <w:jc w:val="both"/>
      </w:pPr>
      <w:r>
        <w:t>Frente a este contexto, el objetivo del presente proyecto consistió en diseñar, aprovisionar y operar un pipeline de datos automatizado, multicloud y serverless que extrae sistemáticamente ofertas residenciales de Chía, las estructura bajo estándares de integridad relacional, enriquece sus dimensiones geográficas y sincroniza los resultados entre AWS y Google Cloud Platform.</w:t>
      </w:r>
    </w:p>
    <w:p w14:paraId="465352D7" w14:textId="23422F64" w:rsidR="00C711FD" w:rsidRDefault="00000000">
      <w:pPr>
        <w:pStyle w:val="Ttulo1"/>
        <w:spacing w:before="280" w:after="120"/>
      </w:pPr>
      <w:r>
        <w:rPr>
          <w:color w:val="182B49"/>
          <w:sz w:val="27"/>
        </w:rPr>
        <w:t>2. Metodología</w:t>
      </w:r>
    </w:p>
    <w:p w14:paraId="059DE816" w14:textId="77777777" w:rsidR="00C711FD" w:rsidRDefault="00000000">
      <w:pPr>
        <w:pStyle w:val="Ttulo2"/>
        <w:spacing w:before="280" w:after="120"/>
      </w:pPr>
      <w:r>
        <w:rPr>
          <w:color w:val="2980B9"/>
          <w:sz w:val="24"/>
        </w:rPr>
        <w:t>2.1. Aprovisionamiento de Infraestructura IaaS, Contenerización y Observabilidad</w:t>
      </w:r>
    </w:p>
    <w:p w14:paraId="15DD4FA3" w14:textId="77777777" w:rsidR="00C711FD" w:rsidRDefault="00000000">
      <w:r>
        <w:t>Para habilitar una capa de observabilidad analítica independiente de servicios SaaS comerciales, se utilizó el servicio Amazon Elastic Compute Cloud (EC2):</w:t>
      </w:r>
    </w:p>
    <w:p w14:paraId="6644EA2B" w14:textId="3156A651" w:rsidR="00C711FD" w:rsidRDefault="00000000">
      <w:r>
        <w:rPr>
          <w:b/>
        </w:rPr>
        <w:lastRenderedPageBreak/>
        <w:t xml:space="preserve">• Identidad y Acceso: </w:t>
      </w:r>
      <w:r>
        <w:t>Se asoció el par de claves seguras RSA Cloud-Comp-Tools-key1 generado en la región us-east-1.</w:t>
      </w:r>
      <w:r>
        <w:br/>
      </w:r>
      <w:r>
        <w:rPr>
          <w:b/>
        </w:rPr>
        <w:t xml:space="preserve">• Seguridad perimetral: </w:t>
      </w:r>
      <w:r>
        <w:t>El Security Group grafana-ec2 restringió el tráfico entrante al puerto 22 (SSH) y al puerto 3000 (Grafana Web UI) exclusivamente a la IP pública del desarrollador.</w:t>
      </w:r>
    </w:p>
    <w:tbl>
      <w:tblPr>
        <w:tblW w:w="0" w:type="auto"/>
        <w:jc w:val="center"/>
        <w:tblLook w:val="04A0" w:firstRow="1" w:lastRow="0" w:firstColumn="1" w:lastColumn="0" w:noHBand="0" w:noVBand="1"/>
      </w:tblPr>
      <w:tblGrid>
        <w:gridCol w:w="9760"/>
      </w:tblGrid>
      <w:tr w:rsidR="00C711FD" w14:paraId="12BB870C" w14:textId="77777777">
        <w:trPr>
          <w:jc w:val="center"/>
        </w:trPr>
        <w:tc>
          <w:tcPr>
            <w:tcW w:w="9360" w:type="dxa"/>
            <w:shd w:val="clear" w:color="auto" w:fill="EDF2F7"/>
            <w:tcMar>
              <w:top w:w="140" w:type="dxa"/>
              <w:left w:w="200" w:type="dxa"/>
              <w:bottom w:w="140" w:type="dxa"/>
              <w:right w:w="200" w:type="dxa"/>
            </w:tcMar>
          </w:tcPr>
          <w:p w14:paraId="7CD8582C" w14:textId="4DA98E06" w:rsidR="00C711FD" w:rsidRDefault="004213A9">
            <w:pPr>
              <w:spacing w:before="40" w:after="40"/>
            </w:pPr>
            <w:r>
              <w:rPr>
                <w:noProof/>
              </w:rPr>
              <w:drawing>
                <wp:inline distT="0" distB="0" distL="0" distR="0" wp14:anchorId="7CBA48D4" wp14:editId="1188E641">
                  <wp:extent cx="5943600" cy="1560195"/>
                  <wp:effectExtent l="0" t="0" r="0" b="1905"/>
                  <wp:docPr id="2116213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213237" name=""/>
                          <pic:cNvPicPr/>
                        </pic:nvPicPr>
                        <pic:blipFill>
                          <a:blip r:embed="rId6"/>
                          <a:stretch>
                            <a:fillRect/>
                          </a:stretch>
                        </pic:blipFill>
                        <pic:spPr>
                          <a:xfrm>
                            <a:off x="0" y="0"/>
                            <a:ext cx="5943600" cy="1560195"/>
                          </a:xfrm>
                          <a:prstGeom prst="rect">
                            <a:avLst/>
                          </a:prstGeom>
                        </pic:spPr>
                      </pic:pic>
                    </a:graphicData>
                  </a:graphic>
                </wp:inline>
              </w:drawing>
            </w:r>
          </w:p>
        </w:tc>
      </w:tr>
    </w:tbl>
    <w:p w14:paraId="5B1E0325" w14:textId="77777777" w:rsidR="00C711FD" w:rsidRDefault="00C711FD">
      <w:pPr>
        <w:spacing w:after="120"/>
      </w:pPr>
    </w:p>
    <w:p w14:paraId="296B8619" w14:textId="61A65E06" w:rsidR="00C711FD" w:rsidRDefault="00000000" w:rsidP="004213A9">
      <w:pPr>
        <w:pStyle w:val="Ttulo2"/>
        <w:spacing w:before="280" w:after="120"/>
        <w:jc w:val="both"/>
      </w:pPr>
      <w:r>
        <w:rPr>
          <w:color w:val="2980B9"/>
          <w:sz w:val="24"/>
        </w:rPr>
        <w:t>2.2. Capa de Almacenamiento (Amazon S3 - Data Lake Raw Zone)</w:t>
      </w:r>
    </w:p>
    <w:p w14:paraId="1D0436E4" w14:textId="3588FCD7" w:rsidR="00C711FD" w:rsidRDefault="00000000">
      <w:r>
        <w:t>Se creó el bucket de almacenamiento masivo s3-bucket-cloud-computing-unisabana configurado en la región us-east-1. Para la recepción de datos crudos se estructuró el prefijo virtual raw_zone/. Cada ciclo del pipeline deposita un archivo CSV serializado en memoria (ofertas_chia_YYYYMMDD_HHMMSS.csv), habilitando auditoría forense y reprocesamiento histórico sin interactuar directamente con el sistema transaccional.</w:t>
      </w:r>
    </w:p>
    <w:p w14:paraId="45BA7915" w14:textId="77777777" w:rsidR="00C711FD" w:rsidRDefault="00000000">
      <w:pPr>
        <w:pStyle w:val="Ttulo2"/>
        <w:spacing w:before="280" w:after="120"/>
      </w:pPr>
      <w:r>
        <w:rPr>
          <w:color w:val="2980B9"/>
          <w:sz w:val="24"/>
        </w:rPr>
        <w:t>2.3. Persistencia Relacional Administrada (Amazon RDS PostgreSQL)</w:t>
      </w:r>
    </w:p>
    <w:p w14:paraId="1DC3F392" w14:textId="77777777" w:rsidR="00C711FD" w:rsidRDefault="00000000">
      <w:r>
        <w:t>Como repositorio transaccional centralizado se desplegó una base de datos Amazon RDS PostgreSQL bajo la clase db.t4g.micro (2 vCPU, 1 GiB de RAM y 20 GiB de almacenamiento SSD GP3). Mediante DBeaver se ejecutó la definición de la tabla con campos numéricos para coordenadas:</w:t>
      </w:r>
    </w:p>
    <w:tbl>
      <w:tblPr>
        <w:tblW w:w="0" w:type="auto"/>
        <w:jc w:val="center"/>
        <w:tblLook w:val="04A0" w:firstRow="1" w:lastRow="0" w:firstColumn="1" w:lastColumn="0" w:noHBand="0" w:noVBand="1"/>
      </w:tblPr>
      <w:tblGrid>
        <w:gridCol w:w="9360"/>
      </w:tblGrid>
      <w:tr w:rsidR="00C711FD" w14:paraId="72672067" w14:textId="77777777">
        <w:trPr>
          <w:jc w:val="center"/>
        </w:trPr>
        <w:tc>
          <w:tcPr>
            <w:tcW w:w="9360" w:type="dxa"/>
            <w:shd w:val="clear" w:color="auto" w:fill="F4F6F9"/>
            <w:tcMar>
              <w:top w:w="120" w:type="dxa"/>
              <w:left w:w="180" w:type="dxa"/>
              <w:bottom w:w="120" w:type="dxa"/>
              <w:right w:w="180" w:type="dxa"/>
            </w:tcMar>
          </w:tcPr>
          <w:p w14:paraId="0163F2D2" w14:textId="77777777" w:rsidR="00C711FD" w:rsidRDefault="00000000">
            <w:pPr>
              <w:spacing w:before="40" w:after="40"/>
            </w:pPr>
            <w:r>
              <w:rPr>
                <w:rFonts w:ascii="Consolas" w:hAnsi="Consolas"/>
                <w:color w:val="282828"/>
                <w:sz w:val="17"/>
              </w:rPr>
              <w:t>CREATE TABLE IF NOT EXISTS apartamentos_chia (</w:t>
            </w:r>
            <w:r>
              <w:rPr>
                <w:rFonts w:ascii="Consolas" w:hAnsi="Consolas"/>
                <w:color w:val="282828"/>
                <w:sz w:val="17"/>
              </w:rPr>
              <w:br/>
              <w:t xml:space="preserve">    codigo VARCHAR(50) PRIMARY KEY,</w:t>
            </w:r>
            <w:r>
              <w:rPr>
                <w:rFonts w:ascii="Consolas" w:hAnsi="Consolas"/>
                <w:color w:val="282828"/>
                <w:sz w:val="17"/>
              </w:rPr>
              <w:br/>
              <w:t xml:space="preserve">    titulo VARCHAR(250) NOT NULL,</w:t>
            </w:r>
            <w:r>
              <w:rPr>
                <w:rFonts w:ascii="Consolas" w:hAnsi="Consolas"/>
                <w:color w:val="282828"/>
                <w:sz w:val="17"/>
              </w:rPr>
              <w:br/>
              <w:t xml:space="preserve">    precio_arriendo NUMERIC(12, 2) NOT NULL,</w:t>
            </w:r>
            <w:r>
              <w:rPr>
                <w:rFonts w:ascii="Consolas" w:hAnsi="Consolas"/>
                <w:color w:val="282828"/>
                <w:sz w:val="17"/>
              </w:rPr>
              <w:br/>
              <w:t xml:space="preserve">    area_m2 NUMERIC(8, 2) NOT NULL,</w:t>
            </w:r>
            <w:r>
              <w:rPr>
                <w:rFonts w:ascii="Consolas" w:hAnsi="Consolas"/>
                <w:color w:val="282828"/>
                <w:sz w:val="17"/>
              </w:rPr>
              <w:br/>
              <w:t xml:space="preserve">    habitaciones INT,</w:t>
            </w:r>
            <w:r>
              <w:rPr>
                <w:rFonts w:ascii="Consolas" w:hAnsi="Consolas"/>
                <w:color w:val="282828"/>
                <w:sz w:val="17"/>
              </w:rPr>
              <w:br/>
              <w:t xml:space="preserve">    banos INT,</w:t>
            </w:r>
            <w:r>
              <w:rPr>
                <w:rFonts w:ascii="Consolas" w:hAnsi="Consolas"/>
                <w:color w:val="282828"/>
                <w:sz w:val="17"/>
              </w:rPr>
              <w:br/>
              <w:t xml:space="preserve">    estrato INT,</w:t>
            </w:r>
            <w:r>
              <w:rPr>
                <w:rFonts w:ascii="Consolas" w:hAnsi="Consolas"/>
                <w:color w:val="282828"/>
                <w:sz w:val="17"/>
              </w:rPr>
              <w:br/>
              <w:t xml:space="preserve">    barrio_sector VARCHAR(100),</w:t>
            </w:r>
            <w:r>
              <w:rPr>
                <w:rFonts w:ascii="Consolas" w:hAnsi="Consolas"/>
                <w:color w:val="282828"/>
                <w:sz w:val="17"/>
              </w:rPr>
              <w:br/>
              <w:t xml:space="preserve">    precio_m2 NUMERIC(10, 2),</w:t>
            </w:r>
            <w:r>
              <w:rPr>
                <w:rFonts w:ascii="Consolas" w:hAnsi="Consolas"/>
                <w:color w:val="282828"/>
                <w:sz w:val="17"/>
              </w:rPr>
              <w:br/>
              <w:t xml:space="preserve">    latitud NUMERIC(10, 6),</w:t>
            </w:r>
            <w:r>
              <w:rPr>
                <w:rFonts w:ascii="Consolas" w:hAnsi="Consolas"/>
                <w:color w:val="282828"/>
                <w:sz w:val="17"/>
              </w:rPr>
              <w:br/>
              <w:t xml:space="preserve">    longitud NUMERIC(10, 6),</w:t>
            </w:r>
            <w:r>
              <w:rPr>
                <w:rFonts w:ascii="Consolas" w:hAnsi="Consolas"/>
                <w:color w:val="282828"/>
                <w:sz w:val="17"/>
              </w:rPr>
              <w:br/>
              <w:t xml:space="preserve">    url_publicacion VARCHAR(500),</w:t>
            </w:r>
            <w:r>
              <w:rPr>
                <w:rFonts w:ascii="Consolas" w:hAnsi="Consolas"/>
                <w:color w:val="282828"/>
                <w:sz w:val="17"/>
              </w:rPr>
              <w:br/>
              <w:t xml:space="preserve">    fecha_extraccion TIMESTAMP NOT NULL</w:t>
            </w:r>
            <w:r>
              <w:rPr>
                <w:rFonts w:ascii="Consolas" w:hAnsi="Consolas"/>
                <w:color w:val="282828"/>
                <w:sz w:val="17"/>
              </w:rPr>
              <w:br/>
              <w:t>);</w:t>
            </w:r>
          </w:p>
        </w:tc>
      </w:tr>
    </w:tbl>
    <w:p w14:paraId="7952FF82" w14:textId="77777777" w:rsidR="00C711FD" w:rsidRDefault="00C711FD">
      <w:pPr>
        <w:spacing w:after="80"/>
      </w:pPr>
    </w:p>
    <w:tbl>
      <w:tblPr>
        <w:tblW w:w="0" w:type="auto"/>
        <w:jc w:val="center"/>
        <w:tblLook w:val="04A0" w:firstRow="1" w:lastRow="0" w:firstColumn="1" w:lastColumn="0" w:noHBand="0" w:noVBand="1"/>
      </w:tblPr>
      <w:tblGrid>
        <w:gridCol w:w="9760"/>
      </w:tblGrid>
      <w:tr w:rsidR="00C711FD" w14:paraId="11CCF162" w14:textId="77777777">
        <w:trPr>
          <w:jc w:val="center"/>
        </w:trPr>
        <w:tc>
          <w:tcPr>
            <w:tcW w:w="9360" w:type="dxa"/>
            <w:shd w:val="clear" w:color="auto" w:fill="EDF2F7"/>
            <w:tcMar>
              <w:top w:w="140" w:type="dxa"/>
              <w:left w:w="200" w:type="dxa"/>
              <w:bottom w:w="140" w:type="dxa"/>
              <w:right w:w="200" w:type="dxa"/>
            </w:tcMar>
          </w:tcPr>
          <w:p w14:paraId="00211FC8" w14:textId="5B184BE4" w:rsidR="00C711FD" w:rsidRDefault="004213A9">
            <w:pPr>
              <w:spacing w:before="40" w:after="40"/>
            </w:pPr>
            <w:r>
              <w:rPr>
                <w:noProof/>
              </w:rPr>
              <w:lastRenderedPageBreak/>
              <w:drawing>
                <wp:inline distT="0" distB="0" distL="0" distR="0" wp14:anchorId="4E244D2F" wp14:editId="61B1D85E">
                  <wp:extent cx="5943600" cy="2869565"/>
                  <wp:effectExtent l="0" t="0" r="0" b="6985"/>
                  <wp:docPr id="9032264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26465" name=""/>
                          <pic:cNvPicPr/>
                        </pic:nvPicPr>
                        <pic:blipFill>
                          <a:blip r:embed="rId7"/>
                          <a:stretch>
                            <a:fillRect/>
                          </a:stretch>
                        </pic:blipFill>
                        <pic:spPr>
                          <a:xfrm>
                            <a:off x="0" y="0"/>
                            <a:ext cx="5943600" cy="2869565"/>
                          </a:xfrm>
                          <a:prstGeom prst="rect">
                            <a:avLst/>
                          </a:prstGeom>
                        </pic:spPr>
                      </pic:pic>
                    </a:graphicData>
                  </a:graphic>
                </wp:inline>
              </w:drawing>
            </w:r>
          </w:p>
        </w:tc>
      </w:tr>
    </w:tbl>
    <w:p w14:paraId="7E54F924" w14:textId="77777777" w:rsidR="00C711FD" w:rsidRDefault="00C711FD">
      <w:pPr>
        <w:spacing w:after="120"/>
      </w:pPr>
    </w:p>
    <w:p w14:paraId="1CE6DFA9" w14:textId="77777777" w:rsidR="00C711FD" w:rsidRDefault="00000000">
      <w:pPr>
        <w:pStyle w:val="Ttulo2"/>
        <w:spacing w:before="280" w:after="120"/>
      </w:pPr>
      <w:r>
        <w:rPr>
          <w:color w:val="2980B9"/>
          <w:sz w:val="24"/>
        </w:rPr>
        <w:t>2.4. Microservicio Serverless (AWS Lambda) e Integración Cross-Cloud</w:t>
      </w:r>
    </w:p>
    <w:p w14:paraId="601F0C91" w14:textId="0F884A38" w:rsidR="00C711FD" w:rsidRDefault="00000000">
      <w:r>
        <w:t>El microservicio central se ejecutó en AWS Lambda (Python 3.12). Se utilizó AWS CloudShell para compilar dependencias puras de Linux x86_64: pg8000.native, junto a BeautifulSoup4 y Requests. Las credenciales privadas de la Service Account de GCP (credentials.json) fueron empaquetadas en la raíz del archivo ZIP desplegado.</w:t>
      </w:r>
    </w:p>
    <w:p w14:paraId="2231FD08" w14:textId="6EB02203" w:rsidR="00C711FD" w:rsidRDefault="00000000">
      <w:r>
        <w:t xml:space="preserve">Para solucionar el apilamiento de </w:t>
      </w:r>
      <w:r w:rsidR="004213A9">
        <w:t>ubicaciones</w:t>
      </w:r>
      <w:r>
        <w:t xml:space="preserve"> en </w:t>
      </w:r>
      <w:r w:rsidR="004213A9">
        <w:t>Data</w:t>
      </w:r>
      <w:r>
        <w:t xml:space="preserve"> Studio, se calibraron centroides espaciales para 12 sectores de Chía y se aplicó una dispersión estocástica controlada (jitter de ±0.0022 grados decimales, equivalente a ~100-250 metros):</w:t>
      </w:r>
    </w:p>
    <w:tbl>
      <w:tblPr>
        <w:tblW w:w="0" w:type="auto"/>
        <w:jc w:val="center"/>
        <w:tblLook w:val="04A0" w:firstRow="1" w:lastRow="0" w:firstColumn="1" w:lastColumn="0" w:noHBand="0" w:noVBand="1"/>
      </w:tblPr>
      <w:tblGrid>
        <w:gridCol w:w="9360"/>
      </w:tblGrid>
      <w:tr w:rsidR="00C711FD" w14:paraId="0406EC42" w14:textId="77777777">
        <w:trPr>
          <w:jc w:val="center"/>
        </w:trPr>
        <w:tc>
          <w:tcPr>
            <w:tcW w:w="9360" w:type="dxa"/>
            <w:shd w:val="clear" w:color="auto" w:fill="F4F6F9"/>
            <w:tcMar>
              <w:top w:w="120" w:type="dxa"/>
              <w:left w:w="180" w:type="dxa"/>
              <w:bottom w:w="120" w:type="dxa"/>
              <w:right w:w="180" w:type="dxa"/>
            </w:tcMar>
          </w:tcPr>
          <w:p w14:paraId="72C4D406" w14:textId="77777777" w:rsidR="00C711FD" w:rsidRDefault="00000000">
            <w:pPr>
              <w:spacing w:before="40" w:after="40"/>
            </w:pPr>
            <w:r>
              <w:rPr>
                <w:rFonts w:ascii="Consolas" w:hAnsi="Consolas"/>
                <w:color w:val="282828"/>
                <w:sz w:val="17"/>
              </w:rPr>
              <w:t># Fragmento del Microservicio Lambda: Enriquecimiento Geoespacial con Jitter</w:t>
            </w:r>
            <w:r>
              <w:rPr>
                <w:rFonts w:ascii="Consolas" w:hAnsi="Consolas"/>
                <w:color w:val="282828"/>
                <w:sz w:val="17"/>
              </w:rPr>
              <w:br/>
              <w:t>COORDENADAS_SECTORES = {</w:t>
            </w:r>
            <w:r>
              <w:rPr>
                <w:rFonts w:ascii="Consolas" w:hAnsi="Consolas"/>
                <w:color w:val="282828"/>
                <w:sz w:val="17"/>
              </w:rPr>
              <w:br/>
              <w:t xml:space="preserve">    'Centro Chía': (4.8580, -74.0585), 'Bojacá': (4.8550, -74.0410),</w:t>
            </w:r>
            <w:r>
              <w:rPr>
                <w:rFonts w:ascii="Consolas" w:hAnsi="Consolas"/>
                <w:color w:val="282828"/>
                <w:sz w:val="17"/>
              </w:rPr>
              <w:br/>
              <w:t xml:space="preserve">    'La Balsa': (4.8420, -74.0320), 'Sindamanoy': (4.8780, -74.0150),</w:t>
            </w:r>
            <w:r>
              <w:rPr>
                <w:rFonts w:ascii="Consolas" w:hAnsi="Consolas"/>
                <w:color w:val="282828"/>
                <w:sz w:val="17"/>
              </w:rPr>
              <w:br/>
              <w:t xml:space="preserve">    'Yerbabuena': (4.8920, -74.0080), 'Mercedes del Río': (4.8690, -74.0510),</w:t>
            </w:r>
            <w:r>
              <w:rPr>
                <w:rFonts w:ascii="Consolas" w:hAnsi="Consolas"/>
                <w:color w:val="282828"/>
                <w:sz w:val="17"/>
              </w:rPr>
              <w:br/>
              <w:t xml:space="preserve">    'Fonquetá': (4.8620, -74.0850), 'El Tejar': (4.8500, -74.0620),</w:t>
            </w:r>
            <w:r>
              <w:rPr>
                <w:rFonts w:ascii="Consolas" w:hAnsi="Consolas"/>
                <w:color w:val="282828"/>
                <w:sz w:val="17"/>
              </w:rPr>
              <w:br/>
              <w:t xml:space="preserve">    'Santa Ana': (4.8650, -74.0450), 'Río Frío': (4.8730, -74.0600),</w:t>
            </w:r>
            <w:r>
              <w:rPr>
                <w:rFonts w:ascii="Consolas" w:hAnsi="Consolas"/>
                <w:color w:val="282828"/>
                <w:sz w:val="17"/>
              </w:rPr>
              <w:br/>
              <w:t xml:space="preserve">    'Fagua': (4.8810, -74.0890), 'Vereda Fusca': (4.8190, -74.0350)</w:t>
            </w:r>
            <w:r>
              <w:rPr>
                <w:rFonts w:ascii="Consolas" w:hAnsi="Consolas"/>
                <w:color w:val="282828"/>
                <w:sz w:val="17"/>
              </w:rPr>
              <w:br/>
              <w:t>}</w:t>
            </w:r>
            <w:r>
              <w:rPr>
                <w:rFonts w:ascii="Consolas" w:hAnsi="Consolas"/>
                <w:color w:val="282828"/>
                <w:sz w:val="17"/>
              </w:rPr>
              <w:br/>
            </w:r>
            <w:r>
              <w:rPr>
                <w:rFonts w:ascii="Consolas" w:hAnsi="Consolas"/>
                <w:color w:val="282828"/>
                <w:sz w:val="17"/>
              </w:rPr>
              <w:br/>
              <w:t>def asignar_coordenadas_con_dispersion(sector):</w:t>
            </w:r>
            <w:r>
              <w:rPr>
                <w:rFonts w:ascii="Consolas" w:hAnsi="Consolas"/>
                <w:color w:val="282828"/>
                <w:sz w:val="17"/>
              </w:rPr>
              <w:br/>
              <w:t xml:space="preserve">    lat_base, lon_base = COORDENADAS_SECTORES.get(sector, (4.8600, -74.0550))</w:t>
            </w:r>
            <w:r>
              <w:rPr>
                <w:rFonts w:ascii="Consolas" w:hAnsi="Consolas"/>
                <w:color w:val="282828"/>
                <w:sz w:val="17"/>
              </w:rPr>
              <w:br/>
              <w:t xml:space="preserve">    lat_jitter = lat_base + random.uniform(-0.0022, 0.0022)</w:t>
            </w:r>
            <w:r>
              <w:rPr>
                <w:rFonts w:ascii="Consolas" w:hAnsi="Consolas"/>
                <w:color w:val="282828"/>
                <w:sz w:val="17"/>
              </w:rPr>
              <w:br/>
              <w:t xml:space="preserve">    lon_jitter = lon_base + random.uniform(-0.0022, 0.0022)</w:t>
            </w:r>
            <w:r>
              <w:rPr>
                <w:rFonts w:ascii="Consolas" w:hAnsi="Consolas"/>
                <w:color w:val="282828"/>
                <w:sz w:val="17"/>
              </w:rPr>
              <w:br/>
              <w:t xml:space="preserve">    return round(lat_jitter, 6), round(lon_jitter, 6)</w:t>
            </w:r>
          </w:p>
        </w:tc>
      </w:tr>
    </w:tbl>
    <w:p w14:paraId="18A2600B" w14:textId="77777777" w:rsidR="00C711FD" w:rsidRDefault="00C711FD">
      <w:pPr>
        <w:spacing w:after="80"/>
      </w:pPr>
    </w:p>
    <w:p w14:paraId="284B4516" w14:textId="77777777" w:rsidR="00C711FD" w:rsidRDefault="00000000">
      <w:pPr>
        <w:pStyle w:val="Ttulo2"/>
        <w:spacing w:before="280" w:after="120"/>
      </w:pPr>
      <w:r>
        <w:rPr>
          <w:color w:val="2980B9"/>
          <w:sz w:val="24"/>
        </w:rPr>
        <w:lastRenderedPageBreak/>
        <w:t>2.5. Orquestación Automatizada e Idempotencia</w:t>
      </w:r>
    </w:p>
    <w:p w14:paraId="6AA63495" w14:textId="77777777" w:rsidR="00C711FD" w:rsidRDefault="00000000">
      <w:r>
        <w:t>La ejecución periódica se configuró en Amazon EventBridge Scheduler mediante una tasa recurrente de 15 minutos (rate(15 minutes)) bajo zona horaria America/Bogota con ventana flexible desactivada (Off). La idempotencia de la base de datos se garantizó mediante la cláusula SQL atómica ON CONFLICT (codigo) DO UPDATE en PostgreSQL, la cual actualiza los cánones y fechas sin generar filas duplicadas en ejecuciones recurrentes. En Google Sheets, la combinación de sheet.clear() y sheet.update() reemplaza el conjunto de datos en bloque, manteniendo la coherencia con Looker Studio.</w:t>
      </w:r>
    </w:p>
    <w:tbl>
      <w:tblPr>
        <w:tblW w:w="0" w:type="auto"/>
        <w:jc w:val="center"/>
        <w:tblLook w:val="04A0" w:firstRow="1" w:lastRow="0" w:firstColumn="1" w:lastColumn="0" w:noHBand="0" w:noVBand="1"/>
      </w:tblPr>
      <w:tblGrid>
        <w:gridCol w:w="9760"/>
      </w:tblGrid>
      <w:tr w:rsidR="00C711FD" w14:paraId="6E7B7264" w14:textId="77777777">
        <w:trPr>
          <w:jc w:val="center"/>
        </w:trPr>
        <w:tc>
          <w:tcPr>
            <w:tcW w:w="9360" w:type="dxa"/>
            <w:shd w:val="clear" w:color="auto" w:fill="EDF2F7"/>
            <w:tcMar>
              <w:top w:w="140" w:type="dxa"/>
              <w:left w:w="200" w:type="dxa"/>
              <w:bottom w:w="140" w:type="dxa"/>
              <w:right w:w="200" w:type="dxa"/>
            </w:tcMar>
          </w:tcPr>
          <w:p w14:paraId="053C1EEF" w14:textId="7EA58962" w:rsidR="00C711FD" w:rsidRDefault="004213A9">
            <w:pPr>
              <w:spacing w:before="40" w:after="40"/>
            </w:pPr>
            <w:r>
              <w:rPr>
                <w:noProof/>
              </w:rPr>
              <w:drawing>
                <wp:inline distT="0" distB="0" distL="0" distR="0" wp14:anchorId="2F9465BF" wp14:editId="6B100EA6">
                  <wp:extent cx="5943600" cy="2814320"/>
                  <wp:effectExtent l="0" t="0" r="0" b="5080"/>
                  <wp:docPr id="14725945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594521" name=""/>
                          <pic:cNvPicPr/>
                        </pic:nvPicPr>
                        <pic:blipFill>
                          <a:blip r:embed="rId8"/>
                          <a:stretch>
                            <a:fillRect/>
                          </a:stretch>
                        </pic:blipFill>
                        <pic:spPr>
                          <a:xfrm>
                            <a:off x="0" y="0"/>
                            <a:ext cx="5943600" cy="2814320"/>
                          </a:xfrm>
                          <a:prstGeom prst="rect">
                            <a:avLst/>
                          </a:prstGeom>
                        </pic:spPr>
                      </pic:pic>
                    </a:graphicData>
                  </a:graphic>
                </wp:inline>
              </w:drawing>
            </w:r>
          </w:p>
        </w:tc>
      </w:tr>
    </w:tbl>
    <w:p w14:paraId="10E04FAE" w14:textId="77777777" w:rsidR="00C711FD" w:rsidRDefault="00C711FD">
      <w:pPr>
        <w:spacing w:after="120"/>
      </w:pPr>
    </w:p>
    <w:tbl>
      <w:tblPr>
        <w:tblW w:w="0" w:type="auto"/>
        <w:jc w:val="center"/>
        <w:tblLook w:val="04A0" w:firstRow="1" w:lastRow="0" w:firstColumn="1" w:lastColumn="0" w:noHBand="0" w:noVBand="1"/>
      </w:tblPr>
      <w:tblGrid>
        <w:gridCol w:w="9760"/>
      </w:tblGrid>
      <w:tr w:rsidR="00C711FD" w14:paraId="07510CBF" w14:textId="77777777">
        <w:trPr>
          <w:jc w:val="center"/>
        </w:trPr>
        <w:tc>
          <w:tcPr>
            <w:tcW w:w="9360" w:type="dxa"/>
            <w:shd w:val="clear" w:color="auto" w:fill="EDF2F7"/>
            <w:tcMar>
              <w:top w:w="140" w:type="dxa"/>
              <w:left w:w="200" w:type="dxa"/>
              <w:bottom w:w="140" w:type="dxa"/>
              <w:right w:w="200" w:type="dxa"/>
            </w:tcMar>
          </w:tcPr>
          <w:p w14:paraId="085D88AD" w14:textId="26CF449C" w:rsidR="00C711FD" w:rsidRDefault="00E02E1F">
            <w:pPr>
              <w:spacing w:before="40" w:after="40"/>
            </w:pPr>
            <w:r>
              <w:rPr>
                <w:noProof/>
              </w:rPr>
              <w:drawing>
                <wp:inline distT="0" distB="0" distL="0" distR="0" wp14:anchorId="7887E3CB" wp14:editId="103ADBC2">
                  <wp:extent cx="5943600" cy="2915285"/>
                  <wp:effectExtent l="0" t="0" r="0" b="0"/>
                  <wp:docPr id="150826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6442" name=""/>
                          <pic:cNvPicPr/>
                        </pic:nvPicPr>
                        <pic:blipFill>
                          <a:blip r:embed="rId9"/>
                          <a:stretch>
                            <a:fillRect/>
                          </a:stretch>
                        </pic:blipFill>
                        <pic:spPr>
                          <a:xfrm>
                            <a:off x="0" y="0"/>
                            <a:ext cx="5943600" cy="2915285"/>
                          </a:xfrm>
                          <a:prstGeom prst="rect">
                            <a:avLst/>
                          </a:prstGeom>
                        </pic:spPr>
                      </pic:pic>
                    </a:graphicData>
                  </a:graphic>
                </wp:inline>
              </w:drawing>
            </w:r>
          </w:p>
        </w:tc>
      </w:tr>
    </w:tbl>
    <w:p w14:paraId="4B62C232" w14:textId="77777777" w:rsidR="00C711FD" w:rsidRDefault="00C711FD">
      <w:pPr>
        <w:spacing w:after="120"/>
      </w:pPr>
    </w:p>
    <w:p w14:paraId="26C0C498" w14:textId="628E2EDE" w:rsidR="00C711FD" w:rsidRDefault="00000000">
      <w:pPr>
        <w:pStyle w:val="Ttulo1"/>
        <w:spacing w:before="280" w:after="120"/>
      </w:pPr>
      <w:r>
        <w:rPr>
          <w:color w:val="182B49"/>
          <w:sz w:val="27"/>
        </w:rPr>
        <w:t xml:space="preserve">3. Resultados </w:t>
      </w:r>
    </w:p>
    <w:p w14:paraId="4C42B92F" w14:textId="77777777" w:rsidR="00C711FD" w:rsidRDefault="00000000">
      <w:pPr>
        <w:pStyle w:val="Ttulo2"/>
        <w:spacing w:before="280" w:after="120"/>
      </w:pPr>
      <w:r>
        <w:rPr>
          <w:color w:val="2980B9"/>
          <w:sz w:val="24"/>
        </w:rPr>
        <w:t>3.1. Rendimiento del Pipeline y Validación de Idempotencia</w:t>
      </w:r>
    </w:p>
    <w:p w14:paraId="36C7223B" w14:textId="02AC140D" w:rsidR="00C711FD" w:rsidRDefault="00000000">
      <w:r>
        <w:t>Las pruebas de ejecución continua validaron una estabilidad del 100%. La función AWS Lambda. La verificación de idempotencia en DBeaver tras múltiples ciclos confirmó que el volumen total de tuplas se mantuvo exactamente en 250 registros, mientras que el campo fecha_extraccion reflejó la última ejecución programada.</w:t>
      </w:r>
    </w:p>
    <w:tbl>
      <w:tblPr>
        <w:tblW w:w="0" w:type="auto"/>
        <w:jc w:val="center"/>
        <w:tblLook w:val="04A0" w:firstRow="1" w:lastRow="0" w:firstColumn="1" w:lastColumn="0" w:noHBand="0" w:noVBand="1"/>
      </w:tblPr>
      <w:tblGrid>
        <w:gridCol w:w="9760"/>
      </w:tblGrid>
      <w:tr w:rsidR="00C711FD" w14:paraId="0E679178" w14:textId="77777777">
        <w:trPr>
          <w:jc w:val="center"/>
        </w:trPr>
        <w:tc>
          <w:tcPr>
            <w:tcW w:w="9360" w:type="dxa"/>
            <w:shd w:val="clear" w:color="auto" w:fill="EDF2F7"/>
            <w:tcMar>
              <w:top w:w="140" w:type="dxa"/>
              <w:left w:w="200" w:type="dxa"/>
              <w:bottom w:w="140" w:type="dxa"/>
              <w:right w:w="200" w:type="dxa"/>
            </w:tcMar>
          </w:tcPr>
          <w:p w14:paraId="10790954" w14:textId="176950E4" w:rsidR="00C711FD" w:rsidRDefault="00D0572B">
            <w:pPr>
              <w:spacing w:before="40" w:after="40"/>
            </w:pPr>
            <w:r>
              <w:rPr>
                <w:noProof/>
              </w:rPr>
              <w:drawing>
                <wp:inline distT="0" distB="0" distL="0" distR="0" wp14:anchorId="3E5102FC" wp14:editId="44EC5450">
                  <wp:extent cx="5943600" cy="2774950"/>
                  <wp:effectExtent l="0" t="0" r="0" b="6350"/>
                  <wp:docPr id="531448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48563" name=""/>
                          <pic:cNvPicPr/>
                        </pic:nvPicPr>
                        <pic:blipFill>
                          <a:blip r:embed="rId10"/>
                          <a:stretch>
                            <a:fillRect/>
                          </a:stretch>
                        </pic:blipFill>
                        <pic:spPr>
                          <a:xfrm>
                            <a:off x="0" y="0"/>
                            <a:ext cx="5943600" cy="2774950"/>
                          </a:xfrm>
                          <a:prstGeom prst="rect">
                            <a:avLst/>
                          </a:prstGeom>
                        </pic:spPr>
                      </pic:pic>
                    </a:graphicData>
                  </a:graphic>
                </wp:inline>
              </w:drawing>
            </w:r>
          </w:p>
        </w:tc>
      </w:tr>
    </w:tbl>
    <w:p w14:paraId="364453AE" w14:textId="77777777" w:rsidR="00C711FD" w:rsidRDefault="00C711FD">
      <w:pPr>
        <w:spacing w:after="120"/>
      </w:pPr>
    </w:p>
    <w:tbl>
      <w:tblPr>
        <w:tblW w:w="0" w:type="auto"/>
        <w:jc w:val="center"/>
        <w:tblLook w:val="04A0" w:firstRow="1" w:lastRow="0" w:firstColumn="1" w:lastColumn="0" w:noHBand="0" w:noVBand="1"/>
      </w:tblPr>
      <w:tblGrid>
        <w:gridCol w:w="9760"/>
      </w:tblGrid>
      <w:tr w:rsidR="00C711FD" w14:paraId="3619CD41" w14:textId="77777777">
        <w:trPr>
          <w:jc w:val="center"/>
        </w:trPr>
        <w:tc>
          <w:tcPr>
            <w:tcW w:w="9360" w:type="dxa"/>
            <w:shd w:val="clear" w:color="auto" w:fill="EDF2F7"/>
            <w:tcMar>
              <w:top w:w="140" w:type="dxa"/>
              <w:left w:w="200" w:type="dxa"/>
              <w:bottom w:w="140" w:type="dxa"/>
              <w:right w:w="200" w:type="dxa"/>
            </w:tcMar>
          </w:tcPr>
          <w:p w14:paraId="764AFEB1" w14:textId="22AA5DCB" w:rsidR="00C711FD" w:rsidRDefault="00D0572B">
            <w:pPr>
              <w:spacing w:before="40" w:after="40"/>
            </w:pPr>
            <w:r>
              <w:rPr>
                <w:noProof/>
              </w:rPr>
              <w:lastRenderedPageBreak/>
              <w:drawing>
                <wp:inline distT="0" distB="0" distL="0" distR="0" wp14:anchorId="7CDCFE9F" wp14:editId="45211DB6">
                  <wp:extent cx="5943600" cy="5132705"/>
                  <wp:effectExtent l="0" t="0" r="0" b="0"/>
                  <wp:docPr id="709154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154028" name=""/>
                          <pic:cNvPicPr/>
                        </pic:nvPicPr>
                        <pic:blipFill>
                          <a:blip r:embed="rId11"/>
                          <a:stretch>
                            <a:fillRect/>
                          </a:stretch>
                        </pic:blipFill>
                        <pic:spPr>
                          <a:xfrm>
                            <a:off x="0" y="0"/>
                            <a:ext cx="5943600" cy="5132705"/>
                          </a:xfrm>
                          <a:prstGeom prst="rect">
                            <a:avLst/>
                          </a:prstGeom>
                        </pic:spPr>
                      </pic:pic>
                    </a:graphicData>
                  </a:graphic>
                </wp:inline>
              </w:drawing>
            </w:r>
          </w:p>
        </w:tc>
      </w:tr>
    </w:tbl>
    <w:p w14:paraId="16E40152" w14:textId="77777777" w:rsidR="00C711FD" w:rsidRDefault="00C711FD">
      <w:pPr>
        <w:spacing w:after="120"/>
      </w:pPr>
    </w:p>
    <w:tbl>
      <w:tblPr>
        <w:tblW w:w="0" w:type="auto"/>
        <w:jc w:val="center"/>
        <w:tblLook w:val="04A0" w:firstRow="1" w:lastRow="0" w:firstColumn="1" w:lastColumn="0" w:noHBand="0" w:noVBand="1"/>
      </w:tblPr>
      <w:tblGrid>
        <w:gridCol w:w="9760"/>
      </w:tblGrid>
      <w:tr w:rsidR="00C711FD" w14:paraId="36078E0A" w14:textId="77777777">
        <w:trPr>
          <w:jc w:val="center"/>
        </w:trPr>
        <w:tc>
          <w:tcPr>
            <w:tcW w:w="9360" w:type="dxa"/>
            <w:shd w:val="clear" w:color="auto" w:fill="EDF2F7"/>
            <w:tcMar>
              <w:top w:w="140" w:type="dxa"/>
              <w:left w:w="200" w:type="dxa"/>
              <w:bottom w:w="140" w:type="dxa"/>
              <w:right w:w="200" w:type="dxa"/>
            </w:tcMar>
          </w:tcPr>
          <w:p w14:paraId="44135DF0" w14:textId="10EC6534" w:rsidR="00C711FD" w:rsidRDefault="00D0572B">
            <w:pPr>
              <w:spacing w:before="40" w:after="40"/>
            </w:pPr>
            <w:r>
              <w:rPr>
                <w:noProof/>
              </w:rPr>
              <w:lastRenderedPageBreak/>
              <w:drawing>
                <wp:inline distT="0" distB="0" distL="0" distR="0" wp14:anchorId="57F3251A" wp14:editId="25E32C8A">
                  <wp:extent cx="5943600" cy="2786380"/>
                  <wp:effectExtent l="0" t="0" r="0" b="0"/>
                  <wp:docPr id="9988988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98895" name=""/>
                          <pic:cNvPicPr/>
                        </pic:nvPicPr>
                        <pic:blipFill>
                          <a:blip r:embed="rId12"/>
                          <a:stretch>
                            <a:fillRect/>
                          </a:stretch>
                        </pic:blipFill>
                        <pic:spPr>
                          <a:xfrm>
                            <a:off x="0" y="0"/>
                            <a:ext cx="5943600" cy="2786380"/>
                          </a:xfrm>
                          <a:prstGeom prst="rect">
                            <a:avLst/>
                          </a:prstGeom>
                        </pic:spPr>
                      </pic:pic>
                    </a:graphicData>
                  </a:graphic>
                </wp:inline>
              </w:drawing>
            </w:r>
          </w:p>
        </w:tc>
      </w:tr>
    </w:tbl>
    <w:p w14:paraId="5AE0E4E8" w14:textId="77777777" w:rsidR="00C711FD" w:rsidRDefault="00C711FD">
      <w:pPr>
        <w:spacing w:after="120"/>
      </w:pPr>
    </w:p>
    <w:p w14:paraId="00BA78DE" w14:textId="77777777" w:rsidR="00C711FD" w:rsidRDefault="00000000">
      <w:pPr>
        <w:pStyle w:val="Ttulo2"/>
        <w:spacing w:before="280" w:after="120"/>
      </w:pPr>
      <w:r>
        <w:rPr>
          <w:color w:val="2980B9"/>
          <w:sz w:val="24"/>
        </w:rPr>
        <w:t>3.2. Métricas Estadísticas del Mercado Inmobiliario en Chía</w:t>
      </w:r>
    </w:p>
    <w:p w14:paraId="0CBB954C" w14:textId="77777777" w:rsidR="00C711FD" w:rsidRDefault="00000000">
      <w:r>
        <w:t>Tabla 1. Resumen Estadístico Consolidado - Ofertas de Arriendo en Chía. Fuente: elaboración propia.</w:t>
      </w:r>
    </w:p>
    <w:tbl>
      <w:tblPr>
        <w:tblW w:w="0" w:type="auto"/>
        <w:jc w:val="center"/>
        <w:tblLook w:val="04A0" w:firstRow="1" w:lastRow="0" w:firstColumn="1" w:lastColumn="0" w:noHBand="0" w:noVBand="1"/>
      </w:tblPr>
      <w:tblGrid>
        <w:gridCol w:w="2340"/>
        <w:gridCol w:w="2340"/>
        <w:gridCol w:w="2340"/>
        <w:gridCol w:w="2340"/>
      </w:tblGrid>
      <w:tr w:rsidR="00C711FD" w14:paraId="386A0243" w14:textId="77777777">
        <w:trPr>
          <w:jc w:val="center"/>
        </w:trPr>
        <w:tc>
          <w:tcPr>
            <w:tcW w:w="2340" w:type="dxa"/>
            <w:shd w:val="clear" w:color="auto" w:fill="1F497D"/>
            <w:tcMar>
              <w:top w:w="80" w:type="dxa"/>
              <w:left w:w="100" w:type="dxa"/>
              <w:bottom w:w="80" w:type="dxa"/>
              <w:right w:w="100" w:type="dxa"/>
            </w:tcMar>
          </w:tcPr>
          <w:p w14:paraId="135B4461" w14:textId="77777777" w:rsidR="00C711FD" w:rsidRDefault="00000000">
            <w:r>
              <w:rPr>
                <w:b/>
                <w:color w:val="FFFFFF"/>
                <w:sz w:val="18"/>
              </w:rPr>
              <w:t>Métrica Analítica</w:t>
            </w:r>
          </w:p>
        </w:tc>
        <w:tc>
          <w:tcPr>
            <w:tcW w:w="2340" w:type="dxa"/>
            <w:shd w:val="clear" w:color="auto" w:fill="1F497D"/>
            <w:tcMar>
              <w:top w:w="80" w:type="dxa"/>
              <w:left w:w="100" w:type="dxa"/>
              <w:bottom w:w="80" w:type="dxa"/>
              <w:right w:w="100" w:type="dxa"/>
            </w:tcMar>
          </w:tcPr>
          <w:p w14:paraId="2F5AEBF5" w14:textId="77777777" w:rsidR="00C711FD" w:rsidRDefault="00000000">
            <w:r>
              <w:rPr>
                <w:b/>
                <w:color w:val="FFFFFF"/>
                <w:sz w:val="18"/>
              </w:rPr>
              <w:t>Valor Consolidado</w:t>
            </w:r>
          </w:p>
        </w:tc>
        <w:tc>
          <w:tcPr>
            <w:tcW w:w="2340" w:type="dxa"/>
            <w:shd w:val="clear" w:color="auto" w:fill="1F497D"/>
            <w:tcMar>
              <w:top w:w="80" w:type="dxa"/>
              <w:left w:w="100" w:type="dxa"/>
              <w:bottom w:w="80" w:type="dxa"/>
              <w:right w:w="100" w:type="dxa"/>
            </w:tcMar>
          </w:tcPr>
          <w:p w14:paraId="4E1AE65D" w14:textId="77777777" w:rsidR="00C711FD" w:rsidRDefault="00000000">
            <w:r>
              <w:rPr>
                <w:b/>
                <w:color w:val="FFFFFF"/>
                <w:sz w:val="18"/>
              </w:rPr>
              <w:t>Unidad de Medida</w:t>
            </w:r>
          </w:p>
        </w:tc>
        <w:tc>
          <w:tcPr>
            <w:tcW w:w="2340" w:type="dxa"/>
            <w:shd w:val="clear" w:color="auto" w:fill="1F497D"/>
            <w:tcMar>
              <w:top w:w="80" w:type="dxa"/>
              <w:left w:w="100" w:type="dxa"/>
              <w:bottom w:w="80" w:type="dxa"/>
              <w:right w:w="100" w:type="dxa"/>
            </w:tcMar>
          </w:tcPr>
          <w:p w14:paraId="7904637F" w14:textId="77777777" w:rsidR="00C711FD" w:rsidRDefault="00000000">
            <w:r>
              <w:rPr>
                <w:b/>
                <w:color w:val="FFFFFF"/>
                <w:sz w:val="18"/>
              </w:rPr>
              <w:t>Interpretación y Validez Técnica</w:t>
            </w:r>
          </w:p>
        </w:tc>
      </w:tr>
      <w:tr w:rsidR="00C711FD" w14:paraId="27F91CA3" w14:textId="77777777">
        <w:trPr>
          <w:jc w:val="center"/>
        </w:trPr>
        <w:tc>
          <w:tcPr>
            <w:tcW w:w="2340" w:type="dxa"/>
            <w:tcMar>
              <w:top w:w="60" w:type="dxa"/>
              <w:left w:w="100" w:type="dxa"/>
              <w:bottom w:w="60" w:type="dxa"/>
              <w:right w:w="100" w:type="dxa"/>
            </w:tcMar>
          </w:tcPr>
          <w:p w14:paraId="55E59962" w14:textId="77777777" w:rsidR="00C711FD" w:rsidRDefault="00000000">
            <w:r>
              <w:rPr>
                <w:sz w:val="17"/>
              </w:rPr>
              <w:t>Total de Ofertas Procesadas</w:t>
            </w:r>
          </w:p>
        </w:tc>
        <w:tc>
          <w:tcPr>
            <w:tcW w:w="2340" w:type="dxa"/>
            <w:tcMar>
              <w:top w:w="60" w:type="dxa"/>
              <w:left w:w="100" w:type="dxa"/>
              <w:bottom w:w="60" w:type="dxa"/>
              <w:right w:w="100" w:type="dxa"/>
            </w:tcMar>
          </w:tcPr>
          <w:p w14:paraId="643A24A8" w14:textId="77777777" w:rsidR="00C711FD" w:rsidRDefault="00000000">
            <w:r>
              <w:rPr>
                <w:sz w:val="17"/>
              </w:rPr>
              <w:t>250</w:t>
            </w:r>
          </w:p>
        </w:tc>
        <w:tc>
          <w:tcPr>
            <w:tcW w:w="2340" w:type="dxa"/>
            <w:tcMar>
              <w:top w:w="60" w:type="dxa"/>
              <w:left w:w="100" w:type="dxa"/>
              <w:bottom w:w="60" w:type="dxa"/>
              <w:right w:w="100" w:type="dxa"/>
            </w:tcMar>
          </w:tcPr>
          <w:p w14:paraId="259D3BFE" w14:textId="77777777" w:rsidR="00C711FD" w:rsidRDefault="00000000">
            <w:r>
              <w:rPr>
                <w:sz w:val="17"/>
              </w:rPr>
              <w:t>Inmuebles</w:t>
            </w:r>
          </w:p>
        </w:tc>
        <w:tc>
          <w:tcPr>
            <w:tcW w:w="2340" w:type="dxa"/>
            <w:tcMar>
              <w:top w:w="60" w:type="dxa"/>
              <w:left w:w="100" w:type="dxa"/>
              <w:bottom w:w="60" w:type="dxa"/>
              <w:right w:w="100" w:type="dxa"/>
            </w:tcMar>
          </w:tcPr>
          <w:p w14:paraId="1C133586" w14:textId="77777777" w:rsidR="00C711FD" w:rsidRDefault="00000000">
            <w:r>
              <w:rPr>
                <w:sz w:val="17"/>
              </w:rPr>
              <w:t>Muestra calibrada para análisis espacial y preservación de red.</w:t>
            </w:r>
          </w:p>
        </w:tc>
      </w:tr>
      <w:tr w:rsidR="00C711FD" w14:paraId="2AAEC2C9" w14:textId="77777777">
        <w:trPr>
          <w:jc w:val="center"/>
        </w:trPr>
        <w:tc>
          <w:tcPr>
            <w:tcW w:w="2340" w:type="dxa"/>
            <w:shd w:val="clear" w:color="auto" w:fill="F7FAFC"/>
            <w:tcMar>
              <w:top w:w="60" w:type="dxa"/>
              <w:left w:w="100" w:type="dxa"/>
              <w:bottom w:w="60" w:type="dxa"/>
              <w:right w:w="100" w:type="dxa"/>
            </w:tcMar>
          </w:tcPr>
          <w:p w14:paraId="1ACC7395" w14:textId="77777777" w:rsidR="00C711FD" w:rsidRDefault="00000000">
            <w:r>
              <w:rPr>
                <w:sz w:val="17"/>
              </w:rPr>
              <w:t>Canon de Arriendo Promedio</w:t>
            </w:r>
          </w:p>
        </w:tc>
        <w:tc>
          <w:tcPr>
            <w:tcW w:w="2340" w:type="dxa"/>
            <w:shd w:val="clear" w:color="auto" w:fill="F7FAFC"/>
            <w:tcMar>
              <w:top w:w="60" w:type="dxa"/>
              <w:left w:w="100" w:type="dxa"/>
              <w:bottom w:w="60" w:type="dxa"/>
              <w:right w:w="100" w:type="dxa"/>
            </w:tcMar>
          </w:tcPr>
          <w:p w14:paraId="307AD0DB" w14:textId="77777777" w:rsidR="00C711FD" w:rsidRDefault="00000000">
            <w:r>
              <w:rPr>
                <w:sz w:val="17"/>
              </w:rPr>
              <w:t>$2.685.400</w:t>
            </w:r>
          </w:p>
        </w:tc>
        <w:tc>
          <w:tcPr>
            <w:tcW w:w="2340" w:type="dxa"/>
            <w:shd w:val="clear" w:color="auto" w:fill="F7FAFC"/>
            <w:tcMar>
              <w:top w:w="60" w:type="dxa"/>
              <w:left w:w="100" w:type="dxa"/>
              <w:bottom w:w="60" w:type="dxa"/>
              <w:right w:w="100" w:type="dxa"/>
            </w:tcMar>
          </w:tcPr>
          <w:p w14:paraId="72AB1E19" w14:textId="77777777" w:rsidR="00C711FD" w:rsidRDefault="00000000">
            <w:r>
              <w:rPr>
                <w:sz w:val="17"/>
              </w:rPr>
              <w:t>COP / mes</w:t>
            </w:r>
          </w:p>
        </w:tc>
        <w:tc>
          <w:tcPr>
            <w:tcW w:w="2340" w:type="dxa"/>
            <w:shd w:val="clear" w:color="auto" w:fill="F7FAFC"/>
            <w:tcMar>
              <w:top w:w="60" w:type="dxa"/>
              <w:left w:w="100" w:type="dxa"/>
              <w:bottom w:w="60" w:type="dxa"/>
              <w:right w:w="100" w:type="dxa"/>
            </w:tcMar>
          </w:tcPr>
          <w:p w14:paraId="29AE9C4B" w14:textId="77777777" w:rsidR="00C711FD" w:rsidRDefault="00000000">
            <w:r>
              <w:rPr>
                <w:sz w:val="17"/>
              </w:rPr>
              <w:t>Media representativa del mercado residencial urbano de Chía.</w:t>
            </w:r>
          </w:p>
        </w:tc>
      </w:tr>
      <w:tr w:rsidR="00C711FD" w14:paraId="45C5ACD2" w14:textId="77777777">
        <w:trPr>
          <w:jc w:val="center"/>
        </w:trPr>
        <w:tc>
          <w:tcPr>
            <w:tcW w:w="2340" w:type="dxa"/>
            <w:tcMar>
              <w:top w:w="60" w:type="dxa"/>
              <w:left w:w="100" w:type="dxa"/>
              <w:bottom w:w="60" w:type="dxa"/>
              <w:right w:w="100" w:type="dxa"/>
            </w:tcMar>
          </w:tcPr>
          <w:p w14:paraId="0D73752F" w14:textId="77777777" w:rsidR="00C711FD" w:rsidRDefault="00000000">
            <w:r>
              <w:rPr>
                <w:sz w:val="17"/>
              </w:rPr>
              <w:t>Área Construida Promedio</w:t>
            </w:r>
          </w:p>
        </w:tc>
        <w:tc>
          <w:tcPr>
            <w:tcW w:w="2340" w:type="dxa"/>
            <w:tcMar>
              <w:top w:w="60" w:type="dxa"/>
              <w:left w:w="100" w:type="dxa"/>
              <w:bottom w:w="60" w:type="dxa"/>
              <w:right w:w="100" w:type="dxa"/>
            </w:tcMar>
          </w:tcPr>
          <w:p w14:paraId="21634F96" w14:textId="77777777" w:rsidR="00C711FD" w:rsidRDefault="00000000">
            <w:r>
              <w:rPr>
                <w:sz w:val="17"/>
              </w:rPr>
              <w:t>87.35</w:t>
            </w:r>
          </w:p>
        </w:tc>
        <w:tc>
          <w:tcPr>
            <w:tcW w:w="2340" w:type="dxa"/>
            <w:tcMar>
              <w:top w:w="60" w:type="dxa"/>
              <w:left w:w="100" w:type="dxa"/>
              <w:bottom w:w="60" w:type="dxa"/>
              <w:right w:w="100" w:type="dxa"/>
            </w:tcMar>
          </w:tcPr>
          <w:p w14:paraId="79F0FA37" w14:textId="77777777" w:rsidR="00C711FD" w:rsidRDefault="00000000">
            <w:r>
              <w:rPr>
                <w:sz w:val="17"/>
              </w:rPr>
              <w:t>Metros cuadrados (m²)</w:t>
            </w:r>
          </w:p>
        </w:tc>
        <w:tc>
          <w:tcPr>
            <w:tcW w:w="2340" w:type="dxa"/>
            <w:tcMar>
              <w:top w:w="60" w:type="dxa"/>
              <w:left w:w="100" w:type="dxa"/>
              <w:bottom w:w="60" w:type="dxa"/>
              <w:right w:w="100" w:type="dxa"/>
            </w:tcMar>
          </w:tcPr>
          <w:p w14:paraId="2CBC102F" w14:textId="77777777" w:rsidR="00C711FD" w:rsidRDefault="00000000">
            <w:r>
              <w:rPr>
                <w:sz w:val="17"/>
              </w:rPr>
              <w:t>Superficie media de las propiedades evaluadas.</w:t>
            </w:r>
          </w:p>
        </w:tc>
      </w:tr>
      <w:tr w:rsidR="00C711FD" w14:paraId="7C280FBD" w14:textId="77777777">
        <w:trPr>
          <w:jc w:val="center"/>
        </w:trPr>
        <w:tc>
          <w:tcPr>
            <w:tcW w:w="2340" w:type="dxa"/>
            <w:shd w:val="clear" w:color="auto" w:fill="F7FAFC"/>
            <w:tcMar>
              <w:top w:w="60" w:type="dxa"/>
              <w:left w:w="100" w:type="dxa"/>
              <w:bottom w:w="60" w:type="dxa"/>
              <w:right w:w="100" w:type="dxa"/>
            </w:tcMar>
          </w:tcPr>
          <w:p w14:paraId="4B83D4A5" w14:textId="77777777" w:rsidR="00C711FD" w:rsidRDefault="00000000">
            <w:r>
              <w:rPr>
                <w:sz w:val="17"/>
              </w:rPr>
              <w:t>Valor Promedio por m²</w:t>
            </w:r>
          </w:p>
        </w:tc>
        <w:tc>
          <w:tcPr>
            <w:tcW w:w="2340" w:type="dxa"/>
            <w:shd w:val="clear" w:color="auto" w:fill="F7FAFC"/>
            <w:tcMar>
              <w:top w:w="60" w:type="dxa"/>
              <w:left w:w="100" w:type="dxa"/>
              <w:bottom w:w="60" w:type="dxa"/>
              <w:right w:w="100" w:type="dxa"/>
            </w:tcMar>
          </w:tcPr>
          <w:p w14:paraId="1B81AE69" w14:textId="77777777" w:rsidR="00C711FD" w:rsidRDefault="00000000">
            <w:r>
              <w:rPr>
                <w:sz w:val="17"/>
              </w:rPr>
              <w:t>$32.410</w:t>
            </w:r>
          </w:p>
        </w:tc>
        <w:tc>
          <w:tcPr>
            <w:tcW w:w="2340" w:type="dxa"/>
            <w:shd w:val="clear" w:color="auto" w:fill="F7FAFC"/>
            <w:tcMar>
              <w:top w:w="60" w:type="dxa"/>
              <w:left w:w="100" w:type="dxa"/>
              <w:bottom w:w="60" w:type="dxa"/>
              <w:right w:w="100" w:type="dxa"/>
            </w:tcMar>
          </w:tcPr>
          <w:p w14:paraId="590CBE45" w14:textId="77777777" w:rsidR="00C711FD" w:rsidRDefault="00000000">
            <w:r>
              <w:rPr>
                <w:sz w:val="17"/>
              </w:rPr>
              <w:t>COP / m²</w:t>
            </w:r>
          </w:p>
        </w:tc>
        <w:tc>
          <w:tcPr>
            <w:tcW w:w="2340" w:type="dxa"/>
            <w:shd w:val="clear" w:color="auto" w:fill="F7FAFC"/>
            <w:tcMar>
              <w:top w:w="60" w:type="dxa"/>
              <w:left w:w="100" w:type="dxa"/>
              <w:bottom w:w="60" w:type="dxa"/>
              <w:right w:w="100" w:type="dxa"/>
            </w:tcMar>
          </w:tcPr>
          <w:p w14:paraId="58EC4BE2" w14:textId="77777777" w:rsidR="00C711FD" w:rsidRDefault="00000000">
            <w:r>
              <w:rPr>
                <w:sz w:val="17"/>
              </w:rPr>
              <w:t>Indicador unitario de costo por superficie.</w:t>
            </w:r>
          </w:p>
        </w:tc>
      </w:tr>
      <w:tr w:rsidR="00C711FD" w14:paraId="5007605A" w14:textId="77777777">
        <w:trPr>
          <w:jc w:val="center"/>
        </w:trPr>
        <w:tc>
          <w:tcPr>
            <w:tcW w:w="2340" w:type="dxa"/>
            <w:tcMar>
              <w:top w:w="60" w:type="dxa"/>
              <w:left w:w="100" w:type="dxa"/>
              <w:bottom w:w="60" w:type="dxa"/>
              <w:right w:w="100" w:type="dxa"/>
            </w:tcMar>
          </w:tcPr>
          <w:p w14:paraId="27F0C26B" w14:textId="77777777" w:rsidR="00C711FD" w:rsidRDefault="00000000">
            <w:r>
              <w:rPr>
                <w:sz w:val="17"/>
              </w:rPr>
              <w:t>Estrato Predominante</w:t>
            </w:r>
          </w:p>
        </w:tc>
        <w:tc>
          <w:tcPr>
            <w:tcW w:w="2340" w:type="dxa"/>
            <w:tcMar>
              <w:top w:w="60" w:type="dxa"/>
              <w:left w:w="100" w:type="dxa"/>
              <w:bottom w:w="60" w:type="dxa"/>
              <w:right w:w="100" w:type="dxa"/>
            </w:tcMar>
          </w:tcPr>
          <w:p w14:paraId="5A5F46FB" w14:textId="77777777" w:rsidR="00C711FD" w:rsidRDefault="00000000">
            <w:r>
              <w:rPr>
                <w:sz w:val="17"/>
              </w:rPr>
              <w:t>4</w:t>
            </w:r>
          </w:p>
        </w:tc>
        <w:tc>
          <w:tcPr>
            <w:tcW w:w="2340" w:type="dxa"/>
            <w:tcMar>
              <w:top w:w="60" w:type="dxa"/>
              <w:left w:w="100" w:type="dxa"/>
              <w:bottom w:w="60" w:type="dxa"/>
              <w:right w:w="100" w:type="dxa"/>
            </w:tcMar>
          </w:tcPr>
          <w:p w14:paraId="1432E94C" w14:textId="77777777" w:rsidR="00C711FD" w:rsidRDefault="00000000">
            <w:r>
              <w:rPr>
                <w:sz w:val="17"/>
              </w:rPr>
              <w:t>Nivel socioeconómico</w:t>
            </w:r>
          </w:p>
        </w:tc>
        <w:tc>
          <w:tcPr>
            <w:tcW w:w="2340" w:type="dxa"/>
            <w:tcMar>
              <w:top w:w="60" w:type="dxa"/>
              <w:left w:w="100" w:type="dxa"/>
              <w:bottom w:w="60" w:type="dxa"/>
              <w:right w:w="100" w:type="dxa"/>
            </w:tcMar>
          </w:tcPr>
          <w:p w14:paraId="002CC17C" w14:textId="77777777" w:rsidR="00C711FD" w:rsidRDefault="00000000">
            <w:r>
              <w:rPr>
                <w:sz w:val="17"/>
              </w:rPr>
              <w:t>Estrato modal residencial en la zona plana urbana.</w:t>
            </w:r>
          </w:p>
        </w:tc>
      </w:tr>
      <w:tr w:rsidR="00C711FD" w14:paraId="5F837872" w14:textId="77777777">
        <w:trPr>
          <w:jc w:val="center"/>
        </w:trPr>
        <w:tc>
          <w:tcPr>
            <w:tcW w:w="2340" w:type="dxa"/>
            <w:shd w:val="clear" w:color="auto" w:fill="F7FAFC"/>
            <w:tcMar>
              <w:top w:w="60" w:type="dxa"/>
              <w:left w:w="100" w:type="dxa"/>
              <w:bottom w:w="60" w:type="dxa"/>
              <w:right w:w="100" w:type="dxa"/>
            </w:tcMar>
          </w:tcPr>
          <w:p w14:paraId="46084047" w14:textId="77777777" w:rsidR="00C711FD" w:rsidRDefault="00000000">
            <w:r>
              <w:rPr>
                <w:sz w:val="17"/>
              </w:rPr>
              <w:t>Latitud Media de Dispersión</w:t>
            </w:r>
          </w:p>
        </w:tc>
        <w:tc>
          <w:tcPr>
            <w:tcW w:w="2340" w:type="dxa"/>
            <w:shd w:val="clear" w:color="auto" w:fill="F7FAFC"/>
            <w:tcMar>
              <w:top w:w="60" w:type="dxa"/>
              <w:left w:w="100" w:type="dxa"/>
              <w:bottom w:w="60" w:type="dxa"/>
              <w:right w:w="100" w:type="dxa"/>
            </w:tcMar>
          </w:tcPr>
          <w:p w14:paraId="4596B504" w14:textId="77777777" w:rsidR="00C711FD" w:rsidRDefault="00000000">
            <w:r>
              <w:rPr>
                <w:sz w:val="17"/>
              </w:rPr>
              <w:t>4.861250</w:t>
            </w:r>
          </w:p>
        </w:tc>
        <w:tc>
          <w:tcPr>
            <w:tcW w:w="2340" w:type="dxa"/>
            <w:shd w:val="clear" w:color="auto" w:fill="F7FAFC"/>
            <w:tcMar>
              <w:top w:w="60" w:type="dxa"/>
              <w:left w:w="100" w:type="dxa"/>
              <w:bottom w:w="60" w:type="dxa"/>
              <w:right w:w="100" w:type="dxa"/>
            </w:tcMar>
          </w:tcPr>
          <w:p w14:paraId="41AB3065" w14:textId="77777777" w:rsidR="00C711FD" w:rsidRDefault="00000000">
            <w:r>
              <w:rPr>
                <w:sz w:val="17"/>
              </w:rPr>
              <w:t>Grados decimales</w:t>
            </w:r>
          </w:p>
        </w:tc>
        <w:tc>
          <w:tcPr>
            <w:tcW w:w="2340" w:type="dxa"/>
            <w:shd w:val="clear" w:color="auto" w:fill="F7FAFC"/>
            <w:tcMar>
              <w:top w:w="60" w:type="dxa"/>
              <w:left w:w="100" w:type="dxa"/>
              <w:bottom w:w="60" w:type="dxa"/>
              <w:right w:w="100" w:type="dxa"/>
            </w:tcMar>
          </w:tcPr>
          <w:p w14:paraId="5F6C79A4" w14:textId="77777777" w:rsidR="00C711FD" w:rsidRDefault="00000000">
            <w:r>
              <w:rPr>
                <w:sz w:val="17"/>
              </w:rPr>
              <w:t>Centroide gravitacional de las ofertas procesadas.</w:t>
            </w:r>
          </w:p>
        </w:tc>
      </w:tr>
      <w:tr w:rsidR="00C711FD" w14:paraId="7B753C4B" w14:textId="77777777">
        <w:trPr>
          <w:jc w:val="center"/>
        </w:trPr>
        <w:tc>
          <w:tcPr>
            <w:tcW w:w="2340" w:type="dxa"/>
            <w:tcMar>
              <w:top w:w="60" w:type="dxa"/>
              <w:left w:w="100" w:type="dxa"/>
              <w:bottom w:w="60" w:type="dxa"/>
              <w:right w:w="100" w:type="dxa"/>
            </w:tcMar>
          </w:tcPr>
          <w:p w14:paraId="51B08E85" w14:textId="77777777" w:rsidR="00C711FD" w:rsidRDefault="00000000">
            <w:r>
              <w:rPr>
                <w:sz w:val="17"/>
              </w:rPr>
              <w:lastRenderedPageBreak/>
              <w:t>Longitud Media de Dispersión</w:t>
            </w:r>
          </w:p>
        </w:tc>
        <w:tc>
          <w:tcPr>
            <w:tcW w:w="2340" w:type="dxa"/>
            <w:tcMar>
              <w:top w:w="60" w:type="dxa"/>
              <w:left w:w="100" w:type="dxa"/>
              <w:bottom w:w="60" w:type="dxa"/>
              <w:right w:w="100" w:type="dxa"/>
            </w:tcMar>
          </w:tcPr>
          <w:p w14:paraId="7D586DBD" w14:textId="77777777" w:rsidR="00C711FD" w:rsidRDefault="00000000">
            <w:r>
              <w:rPr>
                <w:sz w:val="17"/>
              </w:rPr>
              <w:t>-74.049810</w:t>
            </w:r>
          </w:p>
        </w:tc>
        <w:tc>
          <w:tcPr>
            <w:tcW w:w="2340" w:type="dxa"/>
            <w:tcMar>
              <w:top w:w="60" w:type="dxa"/>
              <w:left w:w="100" w:type="dxa"/>
              <w:bottom w:w="60" w:type="dxa"/>
              <w:right w:w="100" w:type="dxa"/>
            </w:tcMar>
          </w:tcPr>
          <w:p w14:paraId="4476DB4E" w14:textId="77777777" w:rsidR="00C711FD" w:rsidRDefault="00000000">
            <w:r>
              <w:rPr>
                <w:sz w:val="17"/>
              </w:rPr>
              <w:t>Grados decimales</w:t>
            </w:r>
          </w:p>
        </w:tc>
        <w:tc>
          <w:tcPr>
            <w:tcW w:w="2340" w:type="dxa"/>
            <w:tcMar>
              <w:top w:w="60" w:type="dxa"/>
              <w:left w:w="100" w:type="dxa"/>
              <w:bottom w:w="60" w:type="dxa"/>
              <w:right w:w="100" w:type="dxa"/>
            </w:tcMar>
          </w:tcPr>
          <w:p w14:paraId="1EC80BB1" w14:textId="77777777" w:rsidR="00C711FD" w:rsidRDefault="00000000">
            <w:r>
              <w:rPr>
                <w:sz w:val="17"/>
              </w:rPr>
              <w:t>Eje longitudinal medio de las observaciones urbanas.</w:t>
            </w:r>
          </w:p>
        </w:tc>
      </w:tr>
    </w:tbl>
    <w:p w14:paraId="5B9715E3" w14:textId="77777777" w:rsidR="00C711FD" w:rsidRDefault="00C711FD">
      <w:pPr>
        <w:spacing w:after="160"/>
      </w:pPr>
    </w:p>
    <w:p w14:paraId="4E2F7D0E" w14:textId="77777777" w:rsidR="00C711FD" w:rsidRDefault="00000000">
      <w:pPr>
        <w:pStyle w:val="Ttulo2"/>
        <w:spacing w:before="280" w:after="120"/>
      </w:pPr>
      <w:r>
        <w:rPr>
          <w:color w:val="2980B9"/>
          <w:sz w:val="24"/>
        </w:rPr>
        <w:t>3.3. Integración Visual Multicloud y Tableros Analíticos</w:t>
      </w:r>
    </w:p>
    <w:p w14:paraId="0EDD68E4" w14:textId="77777777" w:rsidR="00C711FD" w:rsidRDefault="00000000">
      <w:r>
        <w:t>Se construyeron dos plataformas de consumo analítico: (1) Google Looker Studio, con mapas de burbujas geocodificados, tarjetas KPI de canon y área, y gráficos por estrato; y (2) Grafana sobre Docker/EC2, conectado mediante SQL nativo hacia Amazon RDS PostgreSQL.</w:t>
      </w:r>
    </w:p>
    <w:tbl>
      <w:tblPr>
        <w:tblW w:w="0" w:type="auto"/>
        <w:jc w:val="center"/>
        <w:tblLook w:val="04A0" w:firstRow="1" w:lastRow="0" w:firstColumn="1" w:lastColumn="0" w:noHBand="0" w:noVBand="1"/>
      </w:tblPr>
      <w:tblGrid>
        <w:gridCol w:w="9760"/>
      </w:tblGrid>
      <w:tr w:rsidR="00C711FD" w14:paraId="2AE8420B" w14:textId="77777777">
        <w:trPr>
          <w:jc w:val="center"/>
        </w:trPr>
        <w:tc>
          <w:tcPr>
            <w:tcW w:w="9360" w:type="dxa"/>
            <w:shd w:val="clear" w:color="auto" w:fill="EDF2F7"/>
            <w:tcMar>
              <w:top w:w="140" w:type="dxa"/>
              <w:left w:w="200" w:type="dxa"/>
              <w:bottom w:w="140" w:type="dxa"/>
              <w:right w:w="200" w:type="dxa"/>
            </w:tcMar>
          </w:tcPr>
          <w:p w14:paraId="5F0DAE65" w14:textId="6F38C215" w:rsidR="00C711FD" w:rsidRDefault="00D0572B">
            <w:pPr>
              <w:spacing w:before="40" w:after="40"/>
            </w:pPr>
            <w:r>
              <w:rPr>
                <w:noProof/>
              </w:rPr>
              <w:drawing>
                <wp:inline distT="0" distB="0" distL="0" distR="0" wp14:anchorId="6F7AA2C0" wp14:editId="4EC29B28">
                  <wp:extent cx="5943600" cy="3757295"/>
                  <wp:effectExtent l="0" t="0" r="0" b="0"/>
                  <wp:docPr id="273036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36290" name=""/>
                          <pic:cNvPicPr/>
                        </pic:nvPicPr>
                        <pic:blipFill>
                          <a:blip r:embed="rId13"/>
                          <a:stretch>
                            <a:fillRect/>
                          </a:stretch>
                        </pic:blipFill>
                        <pic:spPr>
                          <a:xfrm>
                            <a:off x="0" y="0"/>
                            <a:ext cx="5943600" cy="3757295"/>
                          </a:xfrm>
                          <a:prstGeom prst="rect">
                            <a:avLst/>
                          </a:prstGeom>
                        </pic:spPr>
                      </pic:pic>
                    </a:graphicData>
                  </a:graphic>
                </wp:inline>
              </w:drawing>
            </w:r>
          </w:p>
        </w:tc>
      </w:tr>
    </w:tbl>
    <w:p w14:paraId="2B3A624F" w14:textId="77777777" w:rsidR="00C711FD" w:rsidRDefault="00C711FD">
      <w:pPr>
        <w:spacing w:after="120"/>
      </w:pPr>
    </w:p>
    <w:tbl>
      <w:tblPr>
        <w:tblW w:w="0" w:type="auto"/>
        <w:jc w:val="center"/>
        <w:tblLook w:val="04A0" w:firstRow="1" w:lastRow="0" w:firstColumn="1" w:lastColumn="0" w:noHBand="0" w:noVBand="1"/>
      </w:tblPr>
      <w:tblGrid>
        <w:gridCol w:w="9760"/>
      </w:tblGrid>
      <w:tr w:rsidR="00C711FD" w14:paraId="44FD523B" w14:textId="77777777">
        <w:trPr>
          <w:jc w:val="center"/>
        </w:trPr>
        <w:tc>
          <w:tcPr>
            <w:tcW w:w="9360" w:type="dxa"/>
            <w:shd w:val="clear" w:color="auto" w:fill="EDF2F7"/>
            <w:tcMar>
              <w:top w:w="140" w:type="dxa"/>
              <w:left w:w="200" w:type="dxa"/>
              <w:bottom w:w="140" w:type="dxa"/>
              <w:right w:w="200" w:type="dxa"/>
            </w:tcMar>
          </w:tcPr>
          <w:p w14:paraId="79DA4105" w14:textId="60875BB1" w:rsidR="00C711FD" w:rsidRDefault="00D0572B">
            <w:pPr>
              <w:spacing w:before="40" w:after="40"/>
            </w:pPr>
            <w:r>
              <w:rPr>
                <w:noProof/>
              </w:rPr>
              <w:lastRenderedPageBreak/>
              <w:drawing>
                <wp:inline distT="0" distB="0" distL="0" distR="0" wp14:anchorId="43D579DB" wp14:editId="6FB09741">
                  <wp:extent cx="5943600" cy="4034790"/>
                  <wp:effectExtent l="0" t="0" r="0" b="3810"/>
                  <wp:docPr id="1684588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88473" name=""/>
                          <pic:cNvPicPr/>
                        </pic:nvPicPr>
                        <pic:blipFill>
                          <a:blip r:embed="rId14"/>
                          <a:stretch>
                            <a:fillRect/>
                          </a:stretch>
                        </pic:blipFill>
                        <pic:spPr>
                          <a:xfrm>
                            <a:off x="0" y="0"/>
                            <a:ext cx="5943600" cy="4034790"/>
                          </a:xfrm>
                          <a:prstGeom prst="rect">
                            <a:avLst/>
                          </a:prstGeom>
                        </pic:spPr>
                      </pic:pic>
                    </a:graphicData>
                  </a:graphic>
                </wp:inline>
              </w:drawing>
            </w:r>
          </w:p>
        </w:tc>
      </w:tr>
    </w:tbl>
    <w:p w14:paraId="45486D30" w14:textId="77777777" w:rsidR="00C711FD" w:rsidRDefault="00C711FD">
      <w:pPr>
        <w:spacing w:after="120"/>
      </w:pPr>
    </w:p>
    <w:tbl>
      <w:tblPr>
        <w:tblW w:w="0" w:type="auto"/>
        <w:jc w:val="center"/>
        <w:tblLook w:val="04A0" w:firstRow="1" w:lastRow="0" w:firstColumn="1" w:lastColumn="0" w:noHBand="0" w:noVBand="1"/>
      </w:tblPr>
      <w:tblGrid>
        <w:gridCol w:w="9760"/>
      </w:tblGrid>
      <w:tr w:rsidR="00C711FD" w14:paraId="1A444165" w14:textId="77777777">
        <w:trPr>
          <w:jc w:val="center"/>
        </w:trPr>
        <w:tc>
          <w:tcPr>
            <w:tcW w:w="9360" w:type="dxa"/>
            <w:shd w:val="clear" w:color="auto" w:fill="EDF2F7"/>
            <w:tcMar>
              <w:top w:w="140" w:type="dxa"/>
              <w:left w:w="200" w:type="dxa"/>
              <w:bottom w:w="140" w:type="dxa"/>
              <w:right w:w="200" w:type="dxa"/>
            </w:tcMar>
          </w:tcPr>
          <w:p w14:paraId="6CB57A3F" w14:textId="42EA0B7E" w:rsidR="00D0572B" w:rsidRPr="00D0572B" w:rsidRDefault="00D0572B" w:rsidP="00D0572B">
            <w:pPr>
              <w:spacing w:before="40" w:after="40"/>
              <w:rPr>
                <w:b/>
                <w:color w:val="2B6CB0"/>
                <w:sz w:val="20"/>
                <w:lang w:val="es-CO"/>
              </w:rPr>
            </w:pPr>
            <w:r w:rsidRPr="00D0572B">
              <w:rPr>
                <w:b/>
                <w:color w:val="2B6CB0"/>
                <w:sz w:val="20"/>
                <w:lang w:val="es-CO"/>
              </w:rPr>
              <w:drawing>
                <wp:inline distT="0" distB="0" distL="0" distR="0" wp14:anchorId="76EC924D" wp14:editId="133DBF8C">
                  <wp:extent cx="5943600" cy="2948940"/>
                  <wp:effectExtent l="0" t="0" r="0" b="3810"/>
                  <wp:docPr id="98878819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948940"/>
                          </a:xfrm>
                          <a:prstGeom prst="rect">
                            <a:avLst/>
                          </a:prstGeom>
                          <a:noFill/>
                          <a:ln>
                            <a:noFill/>
                          </a:ln>
                        </pic:spPr>
                      </pic:pic>
                    </a:graphicData>
                  </a:graphic>
                </wp:inline>
              </w:drawing>
            </w:r>
          </w:p>
          <w:p w14:paraId="0691966B" w14:textId="371D37A5" w:rsidR="00C711FD" w:rsidRDefault="00C711FD">
            <w:pPr>
              <w:spacing w:before="40" w:after="40"/>
            </w:pPr>
          </w:p>
        </w:tc>
      </w:tr>
    </w:tbl>
    <w:p w14:paraId="478D6DD9" w14:textId="77777777" w:rsidR="00C711FD" w:rsidRDefault="00C711FD">
      <w:pPr>
        <w:spacing w:after="120"/>
      </w:pPr>
    </w:p>
    <w:p w14:paraId="17BBF37A" w14:textId="77777777" w:rsidR="00C711FD" w:rsidRDefault="00000000">
      <w:pPr>
        <w:pStyle w:val="Ttulo1"/>
        <w:spacing w:before="280" w:after="120"/>
      </w:pPr>
      <w:r>
        <w:rPr>
          <w:color w:val="182B49"/>
          <w:sz w:val="27"/>
        </w:rPr>
        <w:lastRenderedPageBreak/>
        <w:t>4. Discusión (Discussion) y Gestión FinOps</w:t>
      </w:r>
    </w:p>
    <w:p w14:paraId="20785A67" w14:textId="77777777" w:rsidR="00C711FD" w:rsidRDefault="00000000">
      <w:r>
        <w:t>El análisis comparativo entre el uso de servidores virtuales dedicados (EC2) y la arquitectura serverless desplegada demuestra que Lambda elimina por completo el costo ocioso de cómputo, facturando estrictamente durante los ~3.6 segundos de ingestión activa. No obstante, en un entorno con un techo presupuestal estricto de $50 USD (AWS Academy Learner Lab), la gestión financiera de nube requirió acciones operativas concretas:</w:t>
      </w:r>
    </w:p>
    <w:p w14:paraId="4430D50B" w14:textId="77777777" w:rsidR="00C711FD" w:rsidRDefault="00000000">
      <w:r>
        <w:t>Tabla 2. Matriz de Decisiones FinOps y Reducción del Gasto en la Nube. Fuente: elaboración propia.</w:t>
      </w:r>
    </w:p>
    <w:tbl>
      <w:tblPr>
        <w:tblW w:w="0" w:type="auto"/>
        <w:jc w:val="center"/>
        <w:tblLook w:val="04A0" w:firstRow="1" w:lastRow="0" w:firstColumn="1" w:lastColumn="0" w:noHBand="0" w:noVBand="1"/>
      </w:tblPr>
      <w:tblGrid>
        <w:gridCol w:w="3120"/>
        <w:gridCol w:w="3120"/>
        <w:gridCol w:w="3120"/>
      </w:tblGrid>
      <w:tr w:rsidR="00C711FD" w14:paraId="063BEF66" w14:textId="77777777">
        <w:trPr>
          <w:jc w:val="center"/>
        </w:trPr>
        <w:tc>
          <w:tcPr>
            <w:tcW w:w="3120" w:type="dxa"/>
            <w:shd w:val="clear" w:color="auto" w:fill="1F497D"/>
            <w:tcMar>
              <w:top w:w="80" w:type="dxa"/>
              <w:left w:w="100" w:type="dxa"/>
              <w:bottom w:w="80" w:type="dxa"/>
              <w:right w:w="100" w:type="dxa"/>
            </w:tcMar>
          </w:tcPr>
          <w:p w14:paraId="2069E69B" w14:textId="77777777" w:rsidR="00C711FD" w:rsidRDefault="00000000">
            <w:r>
              <w:rPr>
                <w:b/>
                <w:color w:val="FFFFFF"/>
                <w:sz w:val="18"/>
              </w:rPr>
              <w:t>Dimensión FinOps</w:t>
            </w:r>
          </w:p>
        </w:tc>
        <w:tc>
          <w:tcPr>
            <w:tcW w:w="3120" w:type="dxa"/>
            <w:shd w:val="clear" w:color="auto" w:fill="1F497D"/>
            <w:tcMar>
              <w:top w:w="80" w:type="dxa"/>
              <w:left w:w="100" w:type="dxa"/>
              <w:bottom w:w="80" w:type="dxa"/>
              <w:right w:w="100" w:type="dxa"/>
            </w:tcMar>
          </w:tcPr>
          <w:p w14:paraId="19C09975" w14:textId="77777777" w:rsidR="00C711FD" w:rsidRDefault="00000000">
            <w:r>
              <w:rPr>
                <w:b/>
                <w:color w:val="FFFFFF"/>
                <w:sz w:val="18"/>
              </w:rPr>
              <w:t>Estrategia Técnica Implementada</w:t>
            </w:r>
          </w:p>
        </w:tc>
        <w:tc>
          <w:tcPr>
            <w:tcW w:w="3120" w:type="dxa"/>
            <w:shd w:val="clear" w:color="auto" w:fill="1F497D"/>
            <w:tcMar>
              <w:top w:w="80" w:type="dxa"/>
              <w:left w:w="100" w:type="dxa"/>
              <w:bottom w:w="80" w:type="dxa"/>
              <w:right w:w="100" w:type="dxa"/>
            </w:tcMar>
          </w:tcPr>
          <w:p w14:paraId="0CCBEC7B" w14:textId="77777777" w:rsidR="00C711FD" w:rsidRDefault="00000000">
            <w:r>
              <w:rPr>
                <w:b/>
                <w:color w:val="FFFFFF"/>
                <w:sz w:val="18"/>
              </w:rPr>
              <w:t>Impacto Presupuestal y Operativo</w:t>
            </w:r>
          </w:p>
        </w:tc>
      </w:tr>
      <w:tr w:rsidR="00C711FD" w14:paraId="73B8AC09" w14:textId="77777777">
        <w:trPr>
          <w:jc w:val="center"/>
        </w:trPr>
        <w:tc>
          <w:tcPr>
            <w:tcW w:w="3120" w:type="dxa"/>
            <w:tcMar>
              <w:top w:w="60" w:type="dxa"/>
              <w:left w:w="100" w:type="dxa"/>
              <w:bottom w:w="60" w:type="dxa"/>
              <w:right w:w="100" w:type="dxa"/>
            </w:tcMar>
          </w:tcPr>
          <w:p w14:paraId="445BBED2" w14:textId="77777777" w:rsidR="00C711FD" w:rsidRDefault="00000000">
            <w:r>
              <w:rPr>
                <w:sz w:val="17"/>
              </w:rPr>
              <w:t>Computación Serverless (FaaS)</w:t>
            </w:r>
          </w:p>
        </w:tc>
        <w:tc>
          <w:tcPr>
            <w:tcW w:w="3120" w:type="dxa"/>
            <w:tcMar>
              <w:top w:w="60" w:type="dxa"/>
              <w:left w:w="100" w:type="dxa"/>
              <w:bottom w:w="60" w:type="dxa"/>
              <w:right w:w="100" w:type="dxa"/>
            </w:tcMar>
          </w:tcPr>
          <w:p w14:paraId="0EB462EC" w14:textId="77777777" w:rsidR="00C711FD" w:rsidRDefault="00000000">
            <w:r>
              <w:rPr>
                <w:sz w:val="17"/>
              </w:rPr>
              <w:t>Uso de AWS Lambda en sustitución de instancias EC2 dedicadas 24/7.</w:t>
            </w:r>
          </w:p>
        </w:tc>
        <w:tc>
          <w:tcPr>
            <w:tcW w:w="3120" w:type="dxa"/>
            <w:tcMar>
              <w:top w:w="60" w:type="dxa"/>
              <w:left w:w="100" w:type="dxa"/>
              <w:bottom w:w="60" w:type="dxa"/>
              <w:right w:w="100" w:type="dxa"/>
            </w:tcMar>
          </w:tcPr>
          <w:p w14:paraId="3943A90A" w14:textId="77777777" w:rsidR="00C711FD" w:rsidRDefault="00000000">
            <w:r>
              <w:rPr>
                <w:sz w:val="17"/>
              </w:rPr>
              <w:t>Facturación exacta por milisegundos de uso; consumo cubierto por la capa gratuita.</w:t>
            </w:r>
          </w:p>
        </w:tc>
      </w:tr>
      <w:tr w:rsidR="00C711FD" w14:paraId="73DB89B5" w14:textId="77777777">
        <w:trPr>
          <w:jc w:val="center"/>
        </w:trPr>
        <w:tc>
          <w:tcPr>
            <w:tcW w:w="3120" w:type="dxa"/>
            <w:shd w:val="clear" w:color="auto" w:fill="F7FAFC"/>
            <w:tcMar>
              <w:top w:w="60" w:type="dxa"/>
              <w:left w:w="100" w:type="dxa"/>
              <w:bottom w:w="60" w:type="dxa"/>
              <w:right w:w="100" w:type="dxa"/>
            </w:tcMar>
          </w:tcPr>
          <w:p w14:paraId="0EACD972" w14:textId="77777777" w:rsidR="00C711FD" w:rsidRDefault="00000000">
            <w:r>
              <w:rPr>
                <w:sz w:val="17"/>
              </w:rPr>
              <w:t>Calibración del Dataset</w:t>
            </w:r>
          </w:p>
        </w:tc>
        <w:tc>
          <w:tcPr>
            <w:tcW w:w="3120" w:type="dxa"/>
            <w:shd w:val="clear" w:color="auto" w:fill="F7FAFC"/>
            <w:tcMar>
              <w:top w:w="60" w:type="dxa"/>
              <w:left w:w="100" w:type="dxa"/>
              <w:bottom w:w="60" w:type="dxa"/>
              <w:right w:w="100" w:type="dxa"/>
            </w:tcMar>
          </w:tcPr>
          <w:p w14:paraId="181EADC7" w14:textId="77777777" w:rsidR="00C711FD" w:rsidRDefault="00000000">
            <w:r>
              <w:rPr>
                <w:sz w:val="17"/>
              </w:rPr>
              <w:t>Delimitación de la ingesta a 250 registros estructurados.</w:t>
            </w:r>
          </w:p>
        </w:tc>
        <w:tc>
          <w:tcPr>
            <w:tcW w:w="3120" w:type="dxa"/>
            <w:shd w:val="clear" w:color="auto" w:fill="F7FAFC"/>
            <w:tcMar>
              <w:top w:w="60" w:type="dxa"/>
              <w:left w:w="100" w:type="dxa"/>
              <w:bottom w:w="60" w:type="dxa"/>
              <w:right w:w="100" w:type="dxa"/>
            </w:tcMar>
          </w:tcPr>
          <w:p w14:paraId="6BFD6A15" w14:textId="77777777" w:rsidR="00C711FD" w:rsidRDefault="00000000">
            <w:r>
              <w:rPr>
                <w:sz w:val="17"/>
              </w:rPr>
              <w:t>Previene sobrecostos de transferencia de red (Data Egress) y congestión de I/O en RDS.</w:t>
            </w:r>
          </w:p>
        </w:tc>
      </w:tr>
      <w:tr w:rsidR="00C711FD" w14:paraId="7D4F8E59" w14:textId="77777777">
        <w:trPr>
          <w:jc w:val="center"/>
        </w:trPr>
        <w:tc>
          <w:tcPr>
            <w:tcW w:w="3120" w:type="dxa"/>
            <w:tcMar>
              <w:top w:w="60" w:type="dxa"/>
              <w:left w:w="100" w:type="dxa"/>
              <w:bottom w:w="60" w:type="dxa"/>
              <w:right w:w="100" w:type="dxa"/>
            </w:tcMar>
          </w:tcPr>
          <w:p w14:paraId="483EDC1D" w14:textId="77777777" w:rsidR="00C711FD" w:rsidRDefault="00000000">
            <w:r>
              <w:rPr>
                <w:sz w:val="17"/>
              </w:rPr>
              <w:t>Ciclo de Vida de Instancias EC2</w:t>
            </w:r>
          </w:p>
        </w:tc>
        <w:tc>
          <w:tcPr>
            <w:tcW w:w="3120" w:type="dxa"/>
            <w:tcMar>
              <w:top w:w="60" w:type="dxa"/>
              <w:left w:w="100" w:type="dxa"/>
              <w:bottom w:w="60" w:type="dxa"/>
              <w:right w:w="100" w:type="dxa"/>
            </w:tcMar>
          </w:tcPr>
          <w:p w14:paraId="2E8F2C03" w14:textId="77777777" w:rsidR="00C711FD" w:rsidRDefault="00000000">
            <w:r>
              <w:rPr>
                <w:sz w:val="17"/>
              </w:rPr>
              <w:t>Terminación definitiva (Terminate instance) tras pruebas de Grafana.</w:t>
            </w:r>
          </w:p>
        </w:tc>
        <w:tc>
          <w:tcPr>
            <w:tcW w:w="3120" w:type="dxa"/>
            <w:tcMar>
              <w:top w:w="60" w:type="dxa"/>
              <w:left w:w="100" w:type="dxa"/>
              <w:bottom w:w="60" w:type="dxa"/>
              <w:right w:w="100" w:type="dxa"/>
            </w:tcMar>
          </w:tcPr>
          <w:p w14:paraId="45984302" w14:textId="77777777" w:rsidR="00C711FD" w:rsidRDefault="00000000">
            <w:r>
              <w:rPr>
                <w:sz w:val="17"/>
              </w:rPr>
              <w:t>Detiene el cobro continuo por hora de cómputo y libera los volúmenes EBS asociados.</w:t>
            </w:r>
          </w:p>
        </w:tc>
      </w:tr>
      <w:tr w:rsidR="00C711FD" w14:paraId="25AB4F63" w14:textId="77777777">
        <w:trPr>
          <w:jc w:val="center"/>
        </w:trPr>
        <w:tc>
          <w:tcPr>
            <w:tcW w:w="3120" w:type="dxa"/>
            <w:shd w:val="clear" w:color="auto" w:fill="F7FAFC"/>
            <w:tcMar>
              <w:top w:w="60" w:type="dxa"/>
              <w:left w:w="100" w:type="dxa"/>
              <w:bottom w:w="60" w:type="dxa"/>
              <w:right w:w="100" w:type="dxa"/>
            </w:tcMar>
          </w:tcPr>
          <w:p w14:paraId="7014D860" w14:textId="77777777" w:rsidR="00C711FD" w:rsidRDefault="00000000">
            <w:r>
              <w:rPr>
                <w:sz w:val="17"/>
              </w:rPr>
              <w:t>Detención Programada de RDS</w:t>
            </w:r>
          </w:p>
        </w:tc>
        <w:tc>
          <w:tcPr>
            <w:tcW w:w="3120" w:type="dxa"/>
            <w:shd w:val="clear" w:color="auto" w:fill="F7FAFC"/>
            <w:tcMar>
              <w:top w:w="60" w:type="dxa"/>
              <w:left w:w="100" w:type="dxa"/>
              <w:bottom w:w="60" w:type="dxa"/>
              <w:right w:w="100" w:type="dxa"/>
            </w:tcMar>
          </w:tcPr>
          <w:p w14:paraId="6ABDD861" w14:textId="77777777" w:rsidR="00C711FD" w:rsidRDefault="00000000">
            <w:r>
              <w:rPr>
                <w:sz w:val="17"/>
              </w:rPr>
              <w:t>Pausa operativa (Stop instance) del clúster relacional al culminar pruebas.</w:t>
            </w:r>
          </w:p>
        </w:tc>
        <w:tc>
          <w:tcPr>
            <w:tcW w:w="3120" w:type="dxa"/>
            <w:shd w:val="clear" w:color="auto" w:fill="F7FAFC"/>
            <w:tcMar>
              <w:top w:w="60" w:type="dxa"/>
              <w:left w:w="100" w:type="dxa"/>
              <w:bottom w:w="60" w:type="dxa"/>
              <w:right w:w="100" w:type="dxa"/>
            </w:tcMar>
          </w:tcPr>
          <w:p w14:paraId="1022E4AC" w14:textId="77777777" w:rsidR="00C711FD" w:rsidRDefault="00000000">
            <w:r>
              <w:rPr>
                <w:sz w:val="17"/>
              </w:rPr>
              <w:t>Cancela el cobro horario de la instancia db.t4g.micro, reteniendo solo el costo base de almacenamiento.</w:t>
            </w:r>
          </w:p>
        </w:tc>
      </w:tr>
      <w:tr w:rsidR="00C711FD" w14:paraId="153CEA8C" w14:textId="77777777">
        <w:trPr>
          <w:jc w:val="center"/>
        </w:trPr>
        <w:tc>
          <w:tcPr>
            <w:tcW w:w="3120" w:type="dxa"/>
            <w:tcMar>
              <w:top w:w="60" w:type="dxa"/>
              <w:left w:w="100" w:type="dxa"/>
              <w:bottom w:w="60" w:type="dxa"/>
              <w:right w:w="100" w:type="dxa"/>
            </w:tcMar>
          </w:tcPr>
          <w:p w14:paraId="38114595" w14:textId="77777777" w:rsidR="00C711FD" w:rsidRDefault="00000000">
            <w:r>
              <w:rPr>
                <w:sz w:val="17"/>
              </w:rPr>
              <w:t>Gobernanza de Orquestación</w:t>
            </w:r>
          </w:p>
        </w:tc>
        <w:tc>
          <w:tcPr>
            <w:tcW w:w="3120" w:type="dxa"/>
            <w:tcMar>
              <w:top w:w="60" w:type="dxa"/>
              <w:left w:w="100" w:type="dxa"/>
              <w:bottom w:w="60" w:type="dxa"/>
              <w:right w:w="100" w:type="dxa"/>
            </w:tcMar>
          </w:tcPr>
          <w:p w14:paraId="09A73CF3" w14:textId="77777777" w:rsidR="00C711FD" w:rsidRDefault="00000000">
            <w:r>
              <w:rPr>
                <w:sz w:val="17"/>
              </w:rPr>
              <w:t>Desactivación (Disable/Delete) de la regla en EventBridge Scheduler.</w:t>
            </w:r>
          </w:p>
        </w:tc>
        <w:tc>
          <w:tcPr>
            <w:tcW w:w="3120" w:type="dxa"/>
            <w:tcMar>
              <w:top w:w="60" w:type="dxa"/>
              <w:left w:w="100" w:type="dxa"/>
              <w:bottom w:w="60" w:type="dxa"/>
              <w:right w:w="100" w:type="dxa"/>
            </w:tcMar>
          </w:tcPr>
          <w:p w14:paraId="6FD9E541" w14:textId="77777777" w:rsidR="00C711FD" w:rsidRDefault="00000000">
            <w:r>
              <w:rPr>
                <w:sz w:val="17"/>
              </w:rPr>
              <w:t>Impide que el microservicio se ejecute de forma indefinida sin supervisión.</w:t>
            </w:r>
          </w:p>
        </w:tc>
      </w:tr>
      <w:tr w:rsidR="00C711FD" w14:paraId="62920AB3" w14:textId="77777777">
        <w:trPr>
          <w:jc w:val="center"/>
        </w:trPr>
        <w:tc>
          <w:tcPr>
            <w:tcW w:w="3120" w:type="dxa"/>
            <w:shd w:val="clear" w:color="auto" w:fill="F7FAFC"/>
            <w:tcMar>
              <w:top w:w="60" w:type="dxa"/>
              <w:left w:w="100" w:type="dxa"/>
              <w:bottom w:w="60" w:type="dxa"/>
              <w:right w:w="100" w:type="dxa"/>
            </w:tcMar>
          </w:tcPr>
          <w:p w14:paraId="5CFEC11E" w14:textId="77777777" w:rsidR="00C711FD" w:rsidRDefault="00000000">
            <w:r>
              <w:rPr>
                <w:sz w:val="17"/>
              </w:rPr>
              <w:t>Capa Gratuita Multicloud</w:t>
            </w:r>
          </w:p>
        </w:tc>
        <w:tc>
          <w:tcPr>
            <w:tcW w:w="3120" w:type="dxa"/>
            <w:shd w:val="clear" w:color="auto" w:fill="F7FAFC"/>
            <w:tcMar>
              <w:top w:w="60" w:type="dxa"/>
              <w:left w:w="100" w:type="dxa"/>
              <w:bottom w:w="60" w:type="dxa"/>
              <w:right w:w="100" w:type="dxa"/>
            </w:tcMar>
          </w:tcPr>
          <w:p w14:paraId="344387F2" w14:textId="77777777" w:rsidR="00C711FD" w:rsidRDefault="00000000">
            <w:r>
              <w:rPr>
                <w:sz w:val="17"/>
              </w:rPr>
              <w:t>Uso de Google Looker Studio y Google Sheets para Business Intelligence.</w:t>
            </w:r>
          </w:p>
        </w:tc>
        <w:tc>
          <w:tcPr>
            <w:tcW w:w="3120" w:type="dxa"/>
            <w:shd w:val="clear" w:color="auto" w:fill="F7FAFC"/>
            <w:tcMar>
              <w:top w:w="60" w:type="dxa"/>
              <w:left w:w="100" w:type="dxa"/>
              <w:bottom w:w="60" w:type="dxa"/>
              <w:right w:w="100" w:type="dxa"/>
            </w:tcMar>
          </w:tcPr>
          <w:p w14:paraId="1DC325E9" w14:textId="77777777" w:rsidR="00C711FD" w:rsidRDefault="00000000">
            <w:r>
              <w:rPr>
                <w:sz w:val="17"/>
              </w:rPr>
              <w:t>Costo de $0 USD en hosting y licencias de servidores dedicados de visualización.</w:t>
            </w:r>
          </w:p>
        </w:tc>
      </w:tr>
    </w:tbl>
    <w:p w14:paraId="17B15191" w14:textId="77777777" w:rsidR="00C711FD" w:rsidRDefault="00C711FD">
      <w:pPr>
        <w:spacing w:after="160"/>
      </w:pPr>
    </w:p>
    <w:tbl>
      <w:tblPr>
        <w:tblW w:w="0" w:type="auto"/>
        <w:jc w:val="center"/>
        <w:tblLook w:val="04A0" w:firstRow="1" w:lastRow="0" w:firstColumn="1" w:lastColumn="0" w:noHBand="0" w:noVBand="1"/>
      </w:tblPr>
      <w:tblGrid>
        <w:gridCol w:w="9760"/>
      </w:tblGrid>
      <w:tr w:rsidR="00C711FD" w14:paraId="06CE433F" w14:textId="77777777">
        <w:trPr>
          <w:jc w:val="center"/>
        </w:trPr>
        <w:tc>
          <w:tcPr>
            <w:tcW w:w="9360" w:type="dxa"/>
            <w:shd w:val="clear" w:color="auto" w:fill="EDF2F7"/>
            <w:tcMar>
              <w:top w:w="140" w:type="dxa"/>
              <w:left w:w="200" w:type="dxa"/>
              <w:bottom w:w="140" w:type="dxa"/>
              <w:right w:w="200" w:type="dxa"/>
            </w:tcMar>
          </w:tcPr>
          <w:p w14:paraId="0892E7AB" w14:textId="2ADC7014" w:rsidR="00C711FD" w:rsidRDefault="00D0572B">
            <w:pPr>
              <w:spacing w:before="40" w:after="40"/>
            </w:pPr>
            <w:r>
              <w:rPr>
                <w:noProof/>
              </w:rPr>
              <w:lastRenderedPageBreak/>
              <w:drawing>
                <wp:inline distT="0" distB="0" distL="0" distR="0" wp14:anchorId="65C475D9" wp14:editId="3CE9E3B8">
                  <wp:extent cx="5943600" cy="2027555"/>
                  <wp:effectExtent l="0" t="0" r="0" b="0"/>
                  <wp:docPr id="13119343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34333" name=""/>
                          <pic:cNvPicPr/>
                        </pic:nvPicPr>
                        <pic:blipFill>
                          <a:blip r:embed="rId16"/>
                          <a:stretch>
                            <a:fillRect/>
                          </a:stretch>
                        </pic:blipFill>
                        <pic:spPr>
                          <a:xfrm>
                            <a:off x="0" y="0"/>
                            <a:ext cx="5943600" cy="2027555"/>
                          </a:xfrm>
                          <a:prstGeom prst="rect">
                            <a:avLst/>
                          </a:prstGeom>
                        </pic:spPr>
                      </pic:pic>
                    </a:graphicData>
                  </a:graphic>
                </wp:inline>
              </w:drawing>
            </w:r>
          </w:p>
        </w:tc>
      </w:tr>
    </w:tbl>
    <w:p w14:paraId="31F67D3D" w14:textId="77777777" w:rsidR="00C711FD" w:rsidRDefault="00C711FD">
      <w:pPr>
        <w:spacing w:after="120"/>
      </w:pPr>
    </w:p>
    <w:p w14:paraId="582F4D39" w14:textId="77777777" w:rsidR="00C711FD" w:rsidRDefault="00000000">
      <w:pPr>
        <w:pStyle w:val="Ttulo1"/>
        <w:spacing w:before="280" w:after="120"/>
      </w:pPr>
      <w:r>
        <w:rPr>
          <w:color w:val="182B49"/>
          <w:sz w:val="27"/>
        </w:rPr>
        <w:t>5. Conclusiones</w:t>
      </w:r>
    </w:p>
    <w:p w14:paraId="29B26929" w14:textId="0585B12D" w:rsidR="00C711FD" w:rsidRDefault="00000000" w:rsidP="00D0572B">
      <w:pPr>
        <w:jc w:val="both"/>
      </w:pPr>
      <w:r>
        <w:t>1. Se implementó exitosamente un pipeline de datos multicloud y serverless que articula componentes de extracción, almacenamiento, persistencia relacional transaccional y visualización geoespacial entre AWS y GCP.</w:t>
      </w:r>
    </w:p>
    <w:p w14:paraId="3C79217C" w14:textId="77777777" w:rsidR="00C711FD" w:rsidRDefault="00000000">
      <w:r>
        <w:t>2. La adopción de Amazon EventBridge Scheduler en conjunto con AWS Lambda redujo el costo computacional a cero durante los periodos de reposo, superando las ineficiencias de arquitecturas basadas en máquinas virtuales 24/7.</w:t>
      </w:r>
    </w:p>
    <w:p w14:paraId="0E0678DA" w14:textId="77777777" w:rsidR="00C711FD" w:rsidRDefault="00000000">
      <w:r>
        <w:t>3. La implementación de la cláusula ON CONFLICT (codigo) DO UPDATE garantizó la idempotencia del flujo, asegurando que las invocaciones periódicas actualizaran los datos existentes sin duplicar tuplas ni alterar el volumen consolidado de 250 inmuebles.</w:t>
      </w:r>
    </w:p>
    <w:p w14:paraId="2956FEC4" w14:textId="77777777" w:rsidR="00C711FD" w:rsidRDefault="00000000">
      <w:r>
        <w:t>4. La dispersión estocástica sobre centroides urbanos demostró ser una solución técnica viable para la visualización en Looker Studio, permitiendo el despliegue cartográfico de densidad y precios sin costos comerciales de geocodificación.</w:t>
      </w:r>
    </w:p>
    <w:p w14:paraId="09786831" w14:textId="77777777" w:rsidR="00C711FD" w:rsidRDefault="00000000">
      <w:r>
        <w:t>5. La aplicación estricta de principios FinOps (apagado de RDS, terminación de EC2 y pausa de schedules) garantizó la finalización del proyecto dentro del presupuesto asignado de $50 USD en AWS Academy Learner Lab.</w:t>
      </w:r>
    </w:p>
    <w:p w14:paraId="6B41E21C" w14:textId="77777777" w:rsidR="00C711FD" w:rsidRDefault="00000000">
      <w:pPr>
        <w:pStyle w:val="Ttulo1"/>
        <w:spacing w:before="280" w:after="120"/>
      </w:pPr>
      <w:r>
        <w:rPr>
          <w:color w:val="182B49"/>
          <w:sz w:val="27"/>
        </w:rPr>
        <w:t>Referencias</w:t>
      </w:r>
    </w:p>
    <w:p w14:paraId="598C42DB" w14:textId="77777777" w:rsidR="00C711FD" w:rsidRDefault="00000000">
      <w:pPr>
        <w:spacing w:after="80"/>
      </w:pPr>
      <w:r>
        <w:t>• Amazon Web Services. (2024). AWS Identity and Access Management (IAM) Instance Profiles for EC2. AWS Documentation.</w:t>
      </w:r>
    </w:p>
    <w:p w14:paraId="74EDC0F8" w14:textId="77777777" w:rsidR="00C711FD" w:rsidRDefault="00000000">
      <w:pPr>
        <w:spacing w:after="80"/>
      </w:pPr>
      <w:r>
        <w:t>• Amazon Web Services. (2024). AWS Lambda Developer Guide: Working with PostgreSQL and environment variables. AWS Documentation.</w:t>
      </w:r>
    </w:p>
    <w:p w14:paraId="6010DC22" w14:textId="77777777" w:rsidR="00C711FD" w:rsidRDefault="00000000">
      <w:pPr>
        <w:spacing w:after="80"/>
      </w:pPr>
      <w:r>
        <w:t>• Amazon Web Services. (2024). Amazon EventBridge Scheduler: Creating recurring rate-based schedules. AWS Documentation.</w:t>
      </w:r>
    </w:p>
    <w:p w14:paraId="01D9EFE1" w14:textId="77777777" w:rsidR="00C711FD" w:rsidRDefault="00000000">
      <w:pPr>
        <w:spacing w:after="80"/>
      </w:pPr>
      <w:r>
        <w:lastRenderedPageBreak/>
        <w:t>• Franco, H. (2026). Workshop II Guide: AWS Elastic Compute Cloud (EC2) - Automated Ingestion Flow to Data Lake. Maestría en Analítica Aplicada, Universidad de La Sabana.</w:t>
      </w:r>
    </w:p>
    <w:p w14:paraId="20D430F4" w14:textId="77777777" w:rsidR="00C711FD" w:rsidRDefault="00000000">
      <w:pPr>
        <w:spacing w:after="80"/>
      </w:pPr>
      <w:r>
        <w:t>• Franco, H. (2026). Workshop III Guide: Databases as a Service (DBaaS) with AWS RDS and Multicloud Data Pipeline Integration. Maestría en Analítica Aplicada, Universidad de La Sabana.</w:t>
      </w:r>
    </w:p>
    <w:p w14:paraId="0766CC8D" w14:textId="77777777" w:rsidR="00C711FD" w:rsidRDefault="00000000">
      <w:pPr>
        <w:spacing w:after="80"/>
      </w:pPr>
      <w:r>
        <w:t>• Franco, H. (2026). Workshop IV Guide: Docker Containerization on automated EC2 instances and Orchestration. Maestría en Analítica Aplicada, Universidad de La Sabana.</w:t>
      </w:r>
    </w:p>
    <w:p w14:paraId="0DC1E16B" w14:textId="77777777" w:rsidR="00C711FD" w:rsidRDefault="00000000">
      <w:pPr>
        <w:spacing w:after="80"/>
      </w:pPr>
      <w:r>
        <w:t>• Google Cloud. (2024). Service Accounts Credentials and Google Sheets API Integration. Google Cloud Documentation.</w:t>
      </w:r>
    </w:p>
    <w:p w14:paraId="61F16F14" w14:textId="77777777" w:rsidR="00C711FD" w:rsidRDefault="00000000">
      <w:pPr>
        <w:spacing w:after="80"/>
      </w:pPr>
      <w:r>
        <w:t>• Vasan, A., &amp; FinOps Foundation. (2023). Cloud Financial Management and Cost Optimization Principles. O'Reilly Media.</w:t>
      </w:r>
    </w:p>
    <w:sectPr w:rsidR="00C711F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20118125">
    <w:abstractNumId w:val="8"/>
  </w:num>
  <w:num w:numId="2" w16cid:durableId="1473210478">
    <w:abstractNumId w:val="6"/>
  </w:num>
  <w:num w:numId="3" w16cid:durableId="1512911102">
    <w:abstractNumId w:val="5"/>
  </w:num>
  <w:num w:numId="4" w16cid:durableId="1386178857">
    <w:abstractNumId w:val="4"/>
  </w:num>
  <w:num w:numId="5" w16cid:durableId="93133535">
    <w:abstractNumId w:val="7"/>
  </w:num>
  <w:num w:numId="6" w16cid:durableId="1582636150">
    <w:abstractNumId w:val="3"/>
  </w:num>
  <w:num w:numId="7" w16cid:durableId="1761288150">
    <w:abstractNumId w:val="2"/>
  </w:num>
  <w:num w:numId="8" w16cid:durableId="1227960828">
    <w:abstractNumId w:val="1"/>
  </w:num>
  <w:num w:numId="9" w16cid:durableId="1023550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13A9"/>
    <w:rsid w:val="00760D46"/>
    <w:rsid w:val="00AA1D8D"/>
    <w:rsid w:val="00B47730"/>
    <w:rsid w:val="00C711FD"/>
    <w:rsid w:val="00CB0664"/>
    <w:rsid w:val="00D0572B"/>
    <w:rsid w:val="00DE7A0B"/>
    <w:rsid w:val="00E02E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225CC8"/>
  <w14:defaultImageDpi w14:val="300"/>
  <w15:docId w15:val="{31B62815-63AD-4E7B-9463-1199BC0EC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D3748"/>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13</Pages>
  <Words>2012</Words>
  <Characters>11072</Characters>
  <Application>Microsoft Office Word</Application>
  <DocSecurity>0</DocSecurity>
  <Lines>92</Lines>
  <Paragraphs>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13058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Fredy Javier Agaton Aguirre</cp:lastModifiedBy>
  <cp:revision>4</cp:revision>
  <dcterms:created xsi:type="dcterms:W3CDTF">2013-12-23T23:15:00Z</dcterms:created>
  <dcterms:modified xsi:type="dcterms:W3CDTF">2026-09-19T19:08:00Z</dcterms:modified>
  <cp:category/>
</cp:coreProperties>
</file>