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1"/>
        </w:rPr>
        <w:t>Argumentario para preguntas del jurado</w:t>
      </w:r>
    </w:p>
    <w:p>
      <w:pPr>
        <w:pStyle w:val="Heading1"/>
      </w:pPr>
      <w:r>
        <w:rPr>
          <w:rFonts w:ascii="Arial" w:hAnsi="Arial"/>
          <w:sz w:val="21"/>
        </w:rPr>
        <w:t>¿La hipótesis es verificable?</w:t>
      </w:r>
    </w:p>
    <w:p>
      <w:r>
        <w:rPr>
          <w:rFonts w:ascii="Arial" w:hAnsi="Arial"/>
          <w:sz w:val="21"/>
        </w:rPr>
        <w:t>Sí. Se verifica si existen asociaciones territoriales entre ITCC, cumplimiento predial, morosidad y variables de proyectos/participación. No se verifica comportamiento individual.</w:t>
      </w:r>
    </w:p>
    <w:p>
      <w:pPr>
        <w:pStyle w:val="Heading1"/>
      </w:pPr>
      <w:r>
        <w:rPr>
          <w:rFonts w:ascii="Arial" w:hAnsi="Arial"/>
          <w:sz w:val="21"/>
        </w:rPr>
        <w:t>¿Hay causalidad?</w:t>
      </w:r>
    </w:p>
    <w:p>
      <w:r>
        <w:rPr>
          <w:rFonts w:ascii="Arial" w:hAnsi="Arial"/>
          <w:sz w:val="21"/>
        </w:rPr>
        <w:t>No se afirma causalidad. Se trabaja con asociaciones y condiciones territoriales.</w:t>
      </w:r>
    </w:p>
    <w:p>
      <w:pPr>
        <w:pStyle w:val="Heading1"/>
      </w:pPr>
      <w:r>
        <w:rPr>
          <w:rFonts w:ascii="Arial" w:hAnsi="Arial"/>
          <w:sz w:val="21"/>
        </w:rPr>
        <w:t>¿Por qué no cruzan aporte voluntario por localidad?</w:t>
      </w:r>
    </w:p>
    <w:p>
      <w:r>
        <w:rPr>
          <w:rFonts w:ascii="Arial" w:hAnsi="Arial"/>
          <w:sz w:val="21"/>
        </w:rPr>
        <w:t>Porque la fuente pública de aporte voluntario predial no incluye localidad. Hacerlo sería metodológicamente incorrecto. Por eso el aporte se analiza por año/estrato y la estrategia territorial se construye con cumplimiento predial, EM2021 y proyectos.</w:t>
      </w:r>
    </w:p>
    <w:p>
      <w:pPr>
        <w:pStyle w:val="Heading1"/>
      </w:pPr>
      <w:r>
        <w:rPr>
          <w:rFonts w:ascii="Arial" w:hAnsi="Arial"/>
          <w:sz w:val="21"/>
        </w:rPr>
        <w:t>¿Cuál es la innovación?</w:t>
      </w:r>
    </w:p>
    <w:p>
      <w:r>
        <w:rPr>
          <w:rFonts w:ascii="Arial" w:hAnsi="Arial"/>
          <w:sz w:val="21"/>
        </w:rPr>
        <w:t>No es el tablero. Es un modelo de decisión pública reproducible: ITCC + cuadrantes + recomendaciones diferenciadas.</w:t>
      </w:r>
    </w:p>
    <w:p>
      <w:pPr>
        <w:pStyle w:val="Heading1"/>
      </w:pPr>
      <w:r>
        <w:rPr>
          <w:rFonts w:ascii="Arial" w:hAnsi="Arial"/>
          <w:sz w:val="21"/>
        </w:rPr>
        <w:t>¿Qué valor público genera?</w:t>
      </w:r>
    </w:p>
    <w:p>
      <w:r>
        <w:rPr>
          <w:rFonts w:ascii="Arial" w:hAnsi="Arial"/>
          <w:sz w:val="21"/>
        </w:rPr>
        <w:t>Permite pasar de campañas genéricas de recaudo a estrategias territoriales de transparencia, pedagogía y reconocimiento ciudadano.</w:t>
      </w:r>
    </w:p>
    <w:p>
      <w:pPr>
        <w:pStyle w:val="Heading1"/>
      </w:pPr>
      <w:r>
        <w:rPr>
          <w:rFonts w:ascii="Arial" w:hAnsi="Arial"/>
          <w:sz w:val="21"/>
        </w:rPr>
        <w:t>¿Es reproducible?</w:t>
      </w:r>
    </w:p>
    <w:p>
      <w:r>
        <w:rPr>
          <w:rFonts w:ascii="Arial" w:hAnsi="Arial"/>
          <w:sz w:val="21"/>
        </w:rPr>
        <w:t>Sí. Tiene notebook, script, fuentes, rutas, requirements, outputs y metodología documentada.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Documento de trabajo reproducible · Datos Abiertos Bogotá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5050"/>
        <w:sz w:val="16"/>
      </w:rPr>
      <w:t>DataJam Edición 2 · Confianza que Construye Ciudad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