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Guía rápida para montar el visor en Looker Studio</w:t>
      </w:r>
    </w:p>
    <w:p>
      <w:pPr>
        <w:pStyle w:val="Heading1"/>
      </w:pPr>
      <w:r>
        <w:rPr>
          <w:rFonts w:ascii="Arial" w:hAnsi="Arial"/>
          <w:sz w:val="21"/>
        </w:rPr>
        <w:t>Tablas limpias sugeridas</w:t>
      </w:r>
    </w:p>
    <w:p>
      <w:r>
        <w:rPr>
          <w:rFonts w:ascii="Arial" w:hAnsi="Arial"/>
          <w:sz w:val="21"/>
        </w:rPr>
        <w:t>Subir a Google Sheets o conectar como CSV:</w:t>
      </w:r>
    </w:p>
    <w:p>
      <w:pPr>
        <w:pStyle w:val="ListBullet"/>
      </w:pPr>
      <w:r>
        <w:rPr>
          <w:rFonts w:ascii="Arial" w:hAnsi="Arial"/>
          <w:sz w:val="21"/>
        </w:rPr>
        <w:t>`outputs/clean/itcc_localidad.csv`</w:t>
      </w:r>
    </w:p>
    <w:p>
      <w:pPr>
        <w:pStyle w:val="ListBullet"/>
      </w:pPr>
      <w:r>
        <w:rPr>
          <w:rFonts w:ascii="Arial" w:hAnsi="Arial"/>
          <w:sz w:val="21"/>
        </w:rPr>
        <w:t>`outputs/clean/cuadrantes_decision_publica.csv`</w:t>
      </w:r>
    </w:p>
    <w:p>
      <w:pPr>
        <w:pStyle w:val="ListBullet"/>
      </w:pPr>
      <w:r>
        <w:rPr>
          <w:rFonts w:ascii="Arial" w:hAnsi="Arial"/>
          <w:sz w:val="21"/>
        </w:rPr>
        <w:t>`outputs/clean/cumplimiento_predial_localidad.csv`</w:t>
      </w:r>
    </w:p>
    <w:p>
      <w:pPr>
        <w:pStyle w:val="ListBullet"/>
      </w:pPr>
      <w:r>
        <w:rPr>
          <w:rFonts w:ascii="Arial" w:hAnsi="Arial"/>
          <w:sz w:val="21"/>
        </w:rPr>
        <w:t>`outputs/clean/aporte_voluntario_anual.csv`</w:t>
      </w:r>
    </w:p>
    <w:p>
      <w:pPr>
        <w:pStyle w:val="ListBullet"/>
      </w:pPr>
      <w:r>
        <w:rPr>
          <w:rFonts w:ascii="Arial" w:hAnsi="Arial"/>
          <w:sz w:val="21"/>
        </w:rPr>
        <w:t>`outputs/clean/aporte_voluntario_estrato.csv`</w:t>
      </w:r>
    </w:p>
    <w:p>
      <w:pPr>
        <w:pStyle w:val="ListBullet"/>
      </w:pPr>
      <w:r>
        <w:rPr>
          <w:rFonts w:ascii="Arial" w:hAnsi="Arial"/>
          <w:sz w:val="21"/>
        </w:rPr>
        <w:t>`outputs/clean/brechas_trazabilidad.csv`</w:t>
      </w:r>
    </w:p>
    <w:p>
      <w:pPr>
        <w:pStyle w:val="ListBullet"/>
      </w:pPr>
      <w:r>
        <w:rPr>
          <w:rFonts w:ascii="Arial" w:hAnsi="Arial"/>
          <w:sz w:val="21"/>
        </w:rPr>
        <w:t>`outputs/clean/fuentes_datos_manifest.csv`</w:t>
      </w:r>
    </w:p>
    <w:p>
      <w:pPr>
        <w:pStyle w:val="Heading1"/>
      </w:pPr>
      <w:r>
        <w:rPr>
          <w:rFonts w:ascii="Arial" w:hAnsi="Arial"/>
          <w:sz w:val="21"/>
        </w:rPr>
        <w:t>Páginas sugeridas</w:t>
      </w:r>
    </w:p>
    <w:p>
      <w:pPr>
        <w:pStyle w:val="Heading2"/>
      </w:pPr>
      <w:r>
        <w:rPr>
          <w:rFonts w:ascii="Arial" w:hAnsi="Arial"/>
          <w:sz w:val="21"/>
        </w:rPr>
        <w:t>Página 1 — La pregunta ciudadana</w:t>
      </w:r>
    </w:p>
    <w:p>
      <w:r>
        <w:rPr>
          <w:rFonts w:ascii="Arial" w:hAnsi="Arial"/>
          <w:sz w:val="21"/>
        </w:rPr>
        <w:t>Mensaje central: “Una ciudad no se construye únicamente con impuestos. Se construye con confianza.”</w:t>
      </w:r>
    </w:p>
    <w:p>
      <w:r>
        <w:rPr>
          <w:rFonts w:ascii="Arial" w:hAnsi="Arial"/>
          <w:sz w:val="21"/>
        </w:rPr>
        <w:t>Tarjetas: aporte acumulado, contribuyentes acumulados, localidades analizadas, fuente principal.</w:t>
      </w:r>
    </w:p>
    <w:p>
      <w:pPr>
        <w:pStyle w:val="Heading2"/>
      </w:pPr>
      <w:r>
        <w:rPr>
          <w:rFonts w:ascii="Arial" w:hAnsi="Arial"/>
          <w:sz w:val="21"/>
        </w:rPr>
        <w:t>Página 2 — ITCC por localidad</w:t>
      </w:r>
    </w:p>
    <w:p>
      <w:r>
        <w:rPr>
          <w:rFonts w:ascii="Arial" w:hAnsi="Arial"/>
          <w:sz w:val="21"/>
        </w:rPr>
        <w:t>Fuente: `itcc_localidad.csv`.</w:t>
      </w:r>
    </w:p>
    <w:p>
      <w:r>
        <w:rPr>
          <w:rFonts w:ascii="Arial" w:hAnsi="Arial"/>
          <w:sz w:val="21"/>
        </w:rPr>
        <w:t>Visual: barra horizontal o mapa si se incorpora shape de localidades.</w:t>
      </w:r>
    </w:p>
    <w:p>
      <w:r>
        <w:rPr>
          <w:rFonts w:ascii="Arial" w:hAnsi="Arial"/>
          <w:sz w:val="21"/>
        </w:rPr>
        <w:t>Reseña: el índice no clasifica localidades como buenas o malas; identifica condiciones territoriales para orientar pedagogía, reconocimiento y transparencia.</w:t>
      </w:r>
    </w:p>
    <w:p>
      <w:pPr>
        <w:pStyle w:val="Heading2"/>
      </w:pPr>
      <w:r>
        <w:rPr>
          <w:rFonts w:ascii="Arial" w:hAnsi="Arial"/>
          <w:sz w:val="21"/>
        </w:rPr>
        <w:t>Página 3 — Cuadrantes de decisión pública</w:t>
      </w:r>
    </w:p>
    <w:p>
      <w:r>
        <w:rPr>
          <w:rFonts w:ascii="Arial" w:hAnsi="Arial"/>
          <w:sz w:val="21"/>
        </w:rPr>
        <w:t>Fuente: `cuadrantes_decision_publica.csv`.</w:t>
      </w:r>
    </w:p>
    <w:p>
      <w:r>
        <w:rPr>
          <w:rFonts w:ascii="Arial" w:hAnsi="Arial"/>
          <w:sz w:val="21"/>
        </w:rPr>
        <w:t>Visual: dispersión ITCC vs tasa de pago oportuno.</w:t>
      </w:r>
    </w:p>
    <w:p>
      <w:r>
        <w:rPr>
          <w:rFonts w:ascii="Arial" w:hAnsi="Arial"/>
          <w:sz w:val="21"/>
        </w:rPr>
        <w:t>Dimensión: localidad. Color: cuadrante.</w:t>
      </w:r>
    </w:p>
    <w:p>
      <w:r>
        <w:rPr>
          <w:rFonts w:ascii="Arial" w:hAnsi="Arial"/>
          <w:sz w:val="21"/>
        </w:rPr>
        <w:t>Reseña: la innovación es pasar de una campaña genérica a estrategias territoriales diferenciadas.</w:t>
      </w:r>
    </w:p>
    <w:p>
      <w:pPr>
        <w:pStyle w:val="Heading2"/>
      </w:pPr>
      <w:r>
        <w:rPr>
          <w:rFonts w:ascii="Arial" w:hAnsi="Arial"/>
          <w:sz w:val="21"/>
        </w:rPr>
        <w:t>Página 4 — Aporte voluntario</w:t>
      </w:r>
    </w:p>
    <w:p>
      <w:r>
        <w:rPr>
          <w:rFonts w:ascii="Arial" w:hAnsi="Arial"/>
          <w:sz w:val="21"/>
        </w:rPr>
        <w:t>Fuentes: `aporte_voluntario_anual.csv` y `aporte_voluntario_estrato.csv`.</w:t>
      </w:r>
    </w:p>
    <w:p>
      <w:r>
        <w:rPr>
          <w:rFonts w:ascii="Arial" w:hAnsi="Arial"/>
          <w:sz w:val="21"/>
        </w:rPr>
        <w:t>Visuales: línea temporal y barras por estrato.</w:t>
      </w:r>
    </w:p>
    <w:p>
      <w:r>
        <w:rPr>
          <w:rFonts w:ascii="Arial" w:hAnsi="Arial"/>
          <w:sz w:val="21"/>
        </w:rPr>
        <w:t>Reseña: el aporte voluntario se analiza por año y estrato; no se territorializa porque la fuente pública no trae localidad.</w:t>
      </w:r>
    </w:p>
    <w:p>
      <w:pPr>
        <w:pStyle w:val="Heading2"/>
      </w:pPr>
      <w:r>
        <w:rPr>
          <w:rFonts w:ascii="Arial" w:hAnsi="Arial"/>
          <w:sz w:val="21"/>
        </w:rPr>
        <w:t>Página 5 — Cumplimiento y morosidad</w:t>
      </w:r>
    </w:p>
    <w:p>
      <w:r>
        <w:rPr>
          <w:rFonts w:ascii="Arial" w:hAnsi="Arial"/>
          <w:sz w:val="21"/>
        </w:rPr>
        <w:t>Fuente: `cumplimiento_predial_localidad.csv`.</w:t>
      </w:r>
    </w:p>
    <w:p>
      <w:r>
        <w:rPr>
          <w:rFonts w:ascii="Arial" w:hAnsi="Arial"/>
          <w:sz w:val="21"/>
        </w:rPr>
        <w:t>Visuales: morosidad por localidad, pago oportuno, predios obligados.</w:t>
      </w:r>
    </w:p>
    <w:p>
      <w:r>
        <w:rPr>
          <w:rFonts w:ascii="Arial" w:hAnsi="Arial"/>
          <w:sz w:val="21"/>
        </w:rPr>
        <w:t>Reseña: la morosidad no se presenta como juicio sobre territorios; se interpreta como señal para mejorar pedagogía, transparencia y facilidad de comprensión.</w:t>
      </w:r>
    </w:p>
    <w:p>
      <w:pPr>
        <w:pStyle w:val="Heading2"/>
      </w:pPr>
      <w:r>
        <w:rPr>
          <w:rFonts w:ascii="Arial" w:hAnsi="Arial"/>
          <w:sz w:val="21"/>
        </w:rPr>
        <w:t>Página 6 — Brechas y recomendaciones</w:t>
      </w:r>
    </w:p>
    <w:p>
      <w:r>
        <w:rPr>
          <w:rFonts w:ascii="Arial" w:hAnsi="Arial"/>
          <w:sz w:val="21"/>
        </w:rPr>
        <w:t>Fuente: `brechas_trazabilidad.csv`.</w:t>
      </w:r>
    </w:p>
    <w:p>
      <w:r>
        <w:rPr>
          <w:rFonts w:ascii="Arial" w:hAnsi="Arial"/>
          <w:sz w:val="21"/>
        </w:rPr>
        <w:t>Visual: tabla.</w:t>
      </w:r>
    </w:p>
    <w:p>
      <w:r>
        <w:rPr>
          <w:rFonts w:ascii="Arial" w:hAnsi="Arial"/>
          <w:sz w:val="21"/>
        </w:rPr>
        <w:t>Reseña: una propuesta rigurosa no oculta límites; los convierte en agenda pública de mejora de datos abiertos.</w:t>
      </w:r>
    </w:p>
    <w:p>
      <w:pPr>
        <w:pStyle w:val="Heading1"/>
      </w:pPr>
      <w:r>
        <w:rPr>
          <w:rFonts w:ascii="Arial" w:hAnsi="Arial"/>
          <w:sz w:val="21"/>
        </w:rPr>
        <w:t>Estilo recomendado</w:t>
      </w:r>
    </w:p>
    <w:p>
      <w:pPr>
        <w:pStyle w:val="ListBullet"/>
      </w:pPr>
      <w:r>
        <w:rPr>
          <w:rFonts w:ascii="Arial" w:hAnsi="Arial"/>
          <w:sz w:val="21"/>
        </w:rPr>
        <w:t>Título principal: “Confianza que Construye Ciudad”.</w:t>
      </w:r>
    </w:p>
    <w:p>
      <w:pPr>
        <w:pStyle w:val="ListBullet"/>
      </w:pPr>
      <w:r>
        <w:rPr>
          <w:rFonts w:ascii="Arial" w:hAnsi="Arial"/>
          <w:sz w:val="21"/>
        </w:rPr>
        <w:t>Subtítulo: “Cómo los datos abiertos pueden fortalecer la cultura tributaria mediante transparencia, reconocimiento ciudadano y evidencia territorial”.</w:t>
      </w:r>
    </w:p>
    <w:p>
      <w:pPr>
        <w:pStyle w:val="ListBullet"/>
      </w:pPr>
      <w:r>
        <w:rPr>
          <w:rFonts w:ascii="Arial" w:hAnsi="Arial"/>
          <w:sz w:val="21"/>
        </w:rPr>
        <w:t>Usar textos cortos debajo de cada gráfico.</w:t>
      </w:r>
    </w:p>
    <w:p>
      <w:pPr>
        <w:pStyle w:val="ListBullet"/>
      </w:pPr>
      <w:r>
        <w:rPr>
          <w:rFonts w:ascii="Arial" w:hAnsi="Arial"/>
          <w:sz w:val="21"/>
        </w:rPr>
        <w:t>Cerrar con la frase: “La confianza no se decreta. La confianza se demuestra.”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trabajo reproducible · Datos Abiertos Bogotá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DataJam Edición 2 · Confianza que Construye Ciudad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