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1"/>
        </w:rPr>
        <w:t>Pitch de 3 minutos — Confianza que Construye Ciudad</w:t>
      </w:r>
    </w:p>
    <w:p>
      <w:r>
        <w:rPr>
          <w:rFonts w:ascii="Arial" w:hAnsi="Arial"/>
          <w:sz w:val="21"/>
        </w:rPr>
        <w:t>Buenos días.</w:t>
      </w:r>
    </w:p>
    <w:p>
      <w:r>
        <w:rPr>
          <w:rFonts w:ascii="Arial" w:hAnsi="Arial"/>
          <w:sz w:val="21"/>
        </w:rPr>
        <w:t>Quiero empezar con una pregunta que cualquier persona podría hacerse frente a un recibo de impuesto: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Si yo hago un aporte voluntario, ¿la ciudad me puede mostrar dónde se ve?</w:t>
      </w:r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No es una pregunta menor. Detrás de esa pregunta no hay solo dinero. Hay confianza. Hay una persona que decide hacer algo adicional sin estar obligada.</w:t>
      </w:r>
    </w:p>
    <w:p>
      <w:r>
        <w:rPr>
          <w:rFonts w:ascii="Arial" w:hAnsi="Arial"/>
          <w:sz w:val="21"/>
        </w:rPr>
        <w:t xml:space="preserve">Nuestra propuesta se llama </w:t>
      </w:r>
      <w:r>
        <w:rPr>
          <w:rFonts w:ascii="Arial" w:hAnsi="Arial"/>
          <w:b/>
          <w:sz w:val="21"/>
        </w:rPr>
        <w:t>Confianza que Construye Ciudad</w:t>
      </w:r>
      <w:r>
        <w:rPr>
          <w:rFonts w:ascii="Arial" w:hAnsi="Arial"/>
          <w:sz w:val="21"/>
        </w:rPr>
        <w:t>.</w:t>
      </w:r>
    </w:p>
    <w:p>
      <w:r>
        <w:rPr>
          <w:rFonts w:ascii="Arial" w:hAnsi="Arial"/>
          <w:sz w:val="21"/>
        </w:rPr>
        <w:t>No venimos a decir que si la gente ve un proyecto automáticamente va a pagar más. Eso sería una afirmación causal que los datos disponibles no permiten demostrar.</w:t>
      </w:r>
    </w:p>
    <w:p>
      <w:r>
        <w:rPr>
          <w:rFonts w:ascii="Arial" w:hAnsi="Arial"/>
          <w:sz w:val="21"/>
        </w:rPr>
        <w:t>Lo que sí demostramos es algo más útil para la gestión pública: Bogotá tiene datos sobre aporte voluntario, cumplimiento predial, condiciones territoriales y proyectos priorizados por ciudadanía, pero esa información está fragmentada. Para una persona común, el dato existe, pero no siempre se entiende ni se conecta.</w:t>
      </w:r>
    </w:p>
    <w:p>
      <w:r>
        <w:rPr>
          <w:rFonts w:ascii="Arial" w:hAnsi="Arial"/>
          <w:sz w:val="21"/>
        </w:rPr>
        <w:t xml:space="preserve">Por eso construimos el </w:t>
      </w:r>
      <w:r>
        <w:rPr>
          <w:rFonts w:ascii="Arial" w:hAnsi="Arial"/>
          <w:b/>
          <w:sz w:val="21"/>
        </w:rPr>
        <w:t>Índice Territorial de Confianza para la Corresponsabilidad — ITCC</w:t>
      </w:r>
      <w:r>
        <w:rPr>
          <w:rFonts w:ascii="Arial" w:hAnsi="Arial"/>
          <w:sz w:val="21"/>
        </w:rPr>
        <w:t>. Es un índice experimental, transparente y reproducible que no mide comportamientos individuales, sino condiciones territoriales para orientar estrategias públicas.</w:t>
      </w:r>
    </w:p>
    <w:p>
      <w:r>
        <w:rPr>
          <w:rFonts w:ascii="Arial" w:hAnsi="Arial"/>
          <w:sz w:val="21"/>
        </w:rPr>
        <w:t>Luego cruzamos ese índice con cumplimiento predial y morosidad, y construimos cuatro cuadrantes de decisión:</w:t>
      </w:r>
    </w:p>
    <w:p>
      <w:pPr>
        <w:pStyle w:val="ListBullet"/>
      </w:pPr>
      <w:r>
        <w:rPr>
          <w:rFonts w:ascii="Arial" w:hAnsi="Arial"/>
          <w:sz w:val="21"/>
        </w:rPr>
        <w:t>Donde hay mejores condiciones y alto cumplimiento: activar embajadores ciudadanos.</w:t>
      </w:r>
    </w:p>
    <w:p>
      <w:pPr>
        <w:pStyle w:val="ListBullet"/>
      </w:pPr>
      <w:r>
        <w:rPr>
          <w:rFonts w:ascii="Arial" w:hAnsi="Arial"/>
          <w:sz w:val="21"/>
        </w:rPr>
        <w:t>Donde hay buenas condiciones pero menor cumplimiento: comunicar mejor beneficios.</w:t>
      </w:r>
    </w:p>
    <w:p>
      <w:pPr>
        <w:pStyle w:val="ListBullet"/>
      </w:pPr>
      <w:r>
        <w:rPr>
          <w:rFonts w:ascii="Arial" w:hAnsi="Arial"/>
          <w:sz w:val="21"/>
        </w:rPr>
        <w:t>Donde hay alto cumplimiento pero condiciones de confianza más frágiles: reconocer y agradecer.</w:t>
      </w:r>
    </w:p>
    <w:p>
      <w:pPr>
        <w:pStyle w:val="ListBullet"/>
      </w:pPr>
      <w:r>
        <w:rPr>
          <w:rFonts w:ascii="Arial" w:hAnsi="Arial"/>
          <w:sz w:val="21"/>
        </w:rPr>
        <w:t>Donde ambas dimensiones son más bajas: priorizar transparencia, pedagogía y presencia institucional.</w:t>
      </w:r>
    </w:p>
    <w:p>
      <w:r>
        <w:rPr>
          <w:rFonts w:ascii="Arial" w:hAnsi="Arial"/>
          <w:sz w:val="21"/>
        </w:rPr>
        <w:t>La innovación no es el dashboard. La innovación es que la ciudad deja de hablarle igual a territorios distintos.</w:t>
      </w:r>
    </w:p>
    <w:p>
      <w:r>
        <w:rPr>
          <w:rFonts w:ascii="Arial" w:hAnsi="Arial"/>
          <w:sz w:val="21"/>
        </w:rPr>
        <w:t xml:space="preserve">Nuestra recomendación es crear un programa permanente: </w:t>
      </w:r>
      <w:r>
        <w:rPr>
          <w:rFonts w:ascii="Arial" w:hAnsi="Arial"/>
          <w:b/>
          <w:sz w:val="21"/>
        </w:rPr>
        <w:t>Confianza que Construye Ciudad</w:t>
      </w:r>
      <w:r>
        <w:rPr>
          <w:rFonts w:ascii="Arial" w:hAnsi="Arial"/>
          <w:sz w:val="21"/>
        </w:rPr>
        <w:t>, con cinco líneas: trazabilidad ciudadana, reconocimiento inteligente, pedagogía diferenciada, actualización periódica del ITCC y gobierno abierto basado en evidencia.</w:t>
      </w:r>
    </w:p>
    <w:p>
      <w:r>
        <w:rPr>
          <w:rFonts w:ascii="Arial" w:hAnsi="Arial"/>
          <w:sz w:val="21"/>
        </w:rPr>
        <w:t>Durante años hemos intentado convencer a la ciudadanía de aportar más.</w:t>
      </w:r>
    </w:p>
    <w:p>
      <w:r>
        <w:rPr>
          <w:rFonts w:ascii="Arial" w:hAnsi="Arial"/>
          <w:sz w:val="21"/>
        </w:rPr>
        <w:t>Tal vez la pregunta correcta nunca fue cuánto más puede aportar la gente.</w:t>
      </w:r>
    </w:p>
    <w:p>
      <w:r>
        <w:rPr>
          <w:rFonts w:ascii="Arial" w:hAnsi="Arial"/>
          <w:sz w:val="21"/>
        </w:rPr>
        <w:t>Tal vez la pregunta era cuánto más puede explicar la ciudad.</w:t>
      </w:r>
    </w:p>
    <w:p>
      <w:r>
        <w:rPr>
          <w:rFonts w:ascii="Arial" w:hAnsi="Arial"/>
          <w:sz w:val="21"/>
        </w:rPr>
        <w:t>Porque la confianza no se decreta.</w:t>
      </w:r>
    </w:p>
    <w:p>
      <w:r>
        <w:rPr>
          <w:rFonts w:ascii="Arial" w:hAnsi="Arial"/>
          <w:sz w:val="21"/>
        </w:rPr>
        <w:t>La confianza se demuestra.</w:t>
      </w:r>
    </w:p>
    <w:p>
      <w:r>
        <w:rPr>
          <w:rFonts w:ascii="Arial" w:hAnsi="Arial"/>
          <w:sz w:val="21"/>
        </w:rPr>
        <w:t>Y cuando una ciudad demuestra con datos abiertos cómo escucha, cómo invierte y cómo rinde cuentas, el aporte deja de ser un pago adicional y se convierte en un acto de pertenencia.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No presentamos un tablero. Presentamos una forma de reconstruir la confianza entre Bogotá y su ciudadanía.</w:t>
      </w:r>
      <w:r>
        <w:rPr>
          <w:rFonts w:ascii="Arial" w:hAnsi="Arial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de trabajo reproducible · Datos Abiertos Bogotá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DataJam Edición 2 · Confianza que Construye Ciudad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