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24FBC" w14:textId="77C0AC3C" w:rsidR="00570C27" w:rsidRDefault="00E17E84" w:rsidP="00E17E84">
      <w:pPr>
        <w:jc w:val="center"/>
        <w:rPr>
          <w:rFonts w:ascii="Arial" w:hAnsi="Arial" w:cs="Arial"/>
          <w:b/>
          <w:bCs/>
          <w:sz w:val="25"/>
          <w:szCs w:val="25"/>
        </w:rPr>
      </w:pPr>
      <w:r w:rsidRPr="00E17E84">
        <w:rPr>
          <w:rFonts w:ascii="Arial" w:hAnsi="Arial" w:cs="Arial"/>
          <w:b/>
          <w:bCs/>
          <w:sz w:val="25"/>
          <w:szCs w:val="25"/>
        </w:rPr>
        <w:t>Modificaciones relevantes de la Ley 2466 del 20</w:t>
      </w:r>
      <w:r w:rsidR="00021396">
        <w:rPr>
          <w:rFonts w:ascii="Arial" w:hAnsi="Arial" w:cs="Arial"/>
          <w:b/>
          <w:bCs/>
          <w:sz w:val="25"/>
          <w:szCs w:val="25"/>
        </w:rPr>
        <w:t>2</w:t>
      </w:r>
      <w:r w:rsidRPr="00E17E84">
        <w:rPr>
          <w:rFonts w:ascii="Arial" w:hAnsi="Arial" w:cs="Arial"/>
          <w:b/>
          <w:bCs/>
          <w:sz w:val="25"/>
          <w:szCs w:val="25"/>
        </w:rPr>
        <w:t>5 al Código Sustantivo del Trabajo</w:t>
      </w:r>
    </w:p>
    <w:p w14:paraId="0257B9BA" w14:textId="7A7CBA08" w:rsidR="00E17E84" w:rsidRPr="0076536F" w:rsidRDefault="00E17E84" w:rsidP="00C85302">
      <w:pPr>
        <w:rPr>
          <w:rFonts w:ascii="Arial" w:hAnsi="Arial" w:cs="Arial"/>
          <w:b/>
          <w:bCs/>
          <w:sz w:val="6"/>
          <w:szCs w:val="6"/>
        </w:rPr>
      </w:pPr>
    </w:p>
    <w:p w14:paraId="70925E86" w14:textId="77777777" w:rsidR="00027D23" w:rsidRPr="00D738CC" w:rsidRDefault="00E24D93" w:rsidP="003D7BB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D738CC">
        <w:rPr>
          <w:rFonts w:ascii="Arial" w:hAnsi="Arial" w:cs="Arial"/>
          <w:b/>
          <w:bCs/>
          <w:shd w:val="clear" w:color="auto" w:fill="FFFFFF"/>
        </w:rPr>
        <w:t>Contrato a término indefinido como regla general</w:t>
      </w:r>
    </w:p>
    <w:p w14:paraId="05472945" w14:textId="2D5D54FE" w:rsidR="003D7BB4" w:rsidRPr="00D738CC" w:rsidRDefault="003E3556" w:rsidP="00FA762A">
      <w:pPr>
        <w:pStyle w:val="Prrafodelista"/>
        <w:ind w:left="708"/>
        <w:rPr>
          <w:rFonts w:ascii="Arial" w:hAnsi="Arial" w:cs="Arial"/>
        </w:rPr>
      </w:pPr>
      <w:r w:rsidRPr="00D738CC">
        <w:rPr>
          <w:rFonts w:ascii="Arial" w:hAnsi="Arial" w:cs="Arial"/>
          <w:shd w:val="clear" w:color="auto" w:fill="FFFFFF"/>
        </w:rPr>
        <w:t>Antes el contrato a término fijo y el indefinido tenían igual jerarquía; el empleador elegía libremente.</w:t>
      </w:r>
      <w:r w:rsidR="005A1D09" w:rsidRPr="00D738CC">
        <w:rPr>
          <w:rFonts w:ascii="Arial" w:hAnsi="Arial" w:cs="Arial"/>
          <w:shd w:val="clear" w:color="auto" w:fill="FFFFFF"/>
        </w:rPr>
        <w:t xml:space="preserve"> Ahora (ART</w:t>
      </w:r>
      <w:r w:rsidR="005D588A" w:rsidRPr="00D738CC">
        <w:rPr>
          <w:rFonts w:ascii="Arial" w:hAnsi="Arial" w:cs="Arial"/>
          <w:shd w:val="clear" w:color="auto" w:fill="FFFFFF"/>
        </w:rPr>
        <w:t>.</w:t>
      </w:r>
      <w:r w:rsidR="005A1D09" w:rsidRPr="00D738CC">
        <w:rPr>
          <w:rFonts w:ascii="Arial" w:hAnsi="Arial" w:cs="Arial"/>
          <w:shd w:val="clear" w:color="auto" w:fill="FFFFFF"/>
        </w:rPr>
        <w:t xml:space="preserve"> 5°</w:t>
      </w:r>
      <w:r w:rsidR="005D588A" w:rsidRPr="00D738CC">
        <w:rPr>
          <w:rFonts w:ascii="Arial" w:hAnsi="Arial" w:cs="Arial"/>
          <w:shd w:val="clear" w:color="auto" w:fill="FFFFFF"/>
        </w:rPr>
        <w:t>) el indefinido es la regla. El fijo es la excepción y debe justificarse; si no cumple requisitos se convierte en indefinido.</w:t>
      </w:r>
    </w:p>
    <w:p w14:paraId="49D0A497" w14:textId="77777777" w:rsidR="006E4C37" w:rsidRPr="00377533" w:rsidRDefault="006E4C37" w:rsidP="006E4C37">
      <w:pPr>
        <w:pStyle w:val="Prrafodelista"/>
        <w:rPr>
          <w:rFonts w:ascii="Arial" w:hAnsi="Arial" w:cs="Arial"/>
          <w:sz w:val="10"/>
          <w:szCs w:val="10"/>
        </w:rPr>
      </w:pPr>
    </w:p>
    <w:p w14:paraId="41B0A675" w14:textId="77777777" w:rsidR="00936156" w:rsidRPr="00936156" w:rsidRDefault="006E7890" w:rsidP="0093615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D738CC">
        <w:rPr>
          <w:rFonts w:ascii="Arial" w:hAnsi="Arial" w:cs="Arial"/>
          <w:b/>
          <w:bCs/>
          <w:shd w:val="clear" w:color="auto" w:fill="FFFFFF"/>
        </w:rPr>
        <w:t>Límite al contrato a término fijo: 4 años máximo</w:t>
      </w:r>
    </w:p>
    <w:p w14:paraId="2DBD9C25" w14:textId="7B95ECF6" w:rsidR="006E7890" w:rsidRPr="00936156" w:rsidRDefault="005720E5" w:rsidP="00936156">
      <w:pPr>
        <w:pStyle w:val="Prrafodelista"/>
        <w:rPr>
          <w:rFonts w:ascii="Arial" w:hAnsi="Arial" w:cs="Arial"/>
        </w:rPr>
      </w:pPr>
      <w:r w:rsidRPr="00936156">
        <w:rPr>
          <w:rFonts w:ascii="Arial" w:hAnsi="Arial" w:cs="Arial"/>
          <w:shd w:val="clear" w:color="auto" w:fill="FFFFFF"/>
        </w:rPr>
        <w:t xml:space="preserve">Antes el contrato fijo podía renovarse indefinidamente sin tope de tiempo acumulado. Ahora </w:t>
      </w:r>
      <w:r w:rsidR="00F209B9" w:rsidRPr="00936156">
        <w:rPr>
          <w:rFonts w:ascii="Arial" w:hAnsi="Arial" w:cs="Arial"/>
          <w:shd w:val="clear" w:color="auto" w:fill="FFFFFF"/>
        </w:rPr>
        <w:t>(ART. 6°)</w:t>
      </w:r>
      <w:r w:rsidR="00F50F37" w:rsidRPr="00936156">
        <w:rPr>
          <w:rFonts w:ascii="Arial" w:hAnsi="Arial" w:cs="Arial"/>
          <w:shd w:val="clear" w:color="auto" w:fill="FFFFFF"/>
        </w:rPr>
        <w:t xml:space="preserve"> máximo 4 años en total (incluyendo prórrogas). Después de la cuarta prórroga inferior a 1 año, no puede renovarse por menos de un año.</w:t>
      </w:r>
    </w:p>
    <w:p w14:paraId="5AB870EB" w14:textId="77777777" w:rsidR="005613C4" w:rsidRPr="00377533" w:rsidRDefault="005613C4" w:rsidP="005613C4">
      <w:pPr>
        <w:pStyle w:val="Prrafodelista"/>
        <w:rPr>
          <w:rFonts w:ascii="Arial" w:hAnsi="Arial" w:cs="Arial"/>
          <w:sz w:val="10"/>
          <w:szCs w:val="10"/>
        </w:rPr>
      </w:pPr>
    </w:p>
    <w:p w14:paraId="22E7A0DC" w14:textId="77777777" w:rsidR="00027D23" w:rsidRPr="00D738CC" w:rsidRDefault="00D72D8D" w:rsidP="003D7BB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D738CC">
        <w:rPr>
          <w:rFonts w:ascii="Arial" w:hAnsi="Arial" w:cs="Arial"/>
          <w:b/>
          <w:bCs/>
          <w:shd w:val="clear" w:color="auto" w:fill="FFFFFF"/>
        </w:rPr>
        <w:t>Preaviso del trabajador para renunciar: 30 días</w:t>
      </w:r>
    </w:p>
    <w:p w14:paraId="22AF1BED" w14:textId="62D1E7AB" w:rsidR="009256E4" w:rsidRPr="000E23D5" w:rsidRDefault="00F70E7F" w:rsidP="000E23D5">
      <w:pPr>
        <w:pStyle w:val="Prrafodelista"/>
        <w:rPr>
          <w:rFonts w:ascii="Arial" w:hAnsi="Arial" w:cs="Arial"/>
          <w:shd w:val="clear" w:color="auto" w:fill="FFFFFF"/>
        </w:rPr>
      </w:pPr>
      <w:r w:rsidRPr="00D738CC">
        <w:rPr>
          <w:rFonts w:ascii="Arial" w:hAnsi="Arial" w:cs="Arial"/>
          <w:shd w:val="clear" w:color="auto" w:fill="FFFFFF"/>
        </w:rPr>
        <w:t xml:space="preserve"> Antes No existía obligación legal de preaviso para el trabajador que renunciaba voluntariamente. Ahora (ART. </w:t>
      </w:r>
      <w:r w:rsidR="000943AC" w:rsidRPr="00D738CC">
        <w:rPr>
          <w:rFonts w:ascii="Arial" w:hAnsi="Arial" w:cs="Arial"/>
          <w:shd w:val="clear" w:color="auto" w:fill="FFFFFF"/>
        </w:rPr>
        <w:t>5</w:t>
      </w:r>
      <w:r w:rsidRPr="00D738CC">
        <w:rPr>
          <w:rFonts w:ascii="Arial" w:hAnsi="Arial" w:cs="Arial"/>
          <w:shd w:val="clear" w:color="auto" w:fill="FFFFFF"/>
        </w:rPr>
        <w:t>°)</w:t>
      </w:r>
      <w:r w:rsidR="000943AC" w:rsidRPr="00D738CC">
        <w:rPr>
          <w:rFonts w:ascii="Arial" w:hAnsi="Arial" w:cs="Arial"/>
          <w:shd w:val="clear" w:color="auto" w:fill="FFFFFF"/>
        </w:rPr>
        <w:t xml:space="preserve"> </w:t>
      </w:r>
      <w:r w:rsidR="00E33CEC" w:rsidRPr="00D738CC">
        <w:rPr>
          <w:rFonts w:ascii="Arial" w:hAnsi="Arial" w:cs="Arial"/>
          <w:shd w:val="clear" w:color="auto" w:fill="FFFFFF"/>
        </w:rPr>
        <w:t>e</w:t>
      </w:r>
      <w:r w:rsidR="000943AC" w:rsidRPr="00D738CC">
        <w:rPr>
          <w:rFonts w:ascii="Arial" w:hAnsi="Arial" w:cs="Arial"/>
          <w:shd w:val="clear" w:color="auto" w:fill="FFFFFF"/>
        </w:rPr>
        <w:t>l trabajador debe dar 30 días de preaviso para que el empleador provea su reemplazo, salvo que renuncie por causa imputable al empleador.</w:t>
      </w:r>
    </w:p>
    <w:p w14:paraId="2BA4F638" w14:textId="77777777" w:rsidR="00F50F37" w:rsidRPr="00377533" w:rsidRDefault="00F50F37" w:rsidP="00F50F37">
      <w:pPr>
        <w:pStyle w:val="Prrafodelista"/>
        <w:rPr>
          <w:rFonts w:ascii="Arial" w:hAnsi="Arial" w:cs="Arial"/>
          <w:sz w:val="10"/>
          <w:szCs w:val="10"/>
        </w:rPr>
      </w:pPr>
    </w:p>
    <w:p w14:paraId="67ECAE03" w14:textId="77777777" w:rsidR="00FA762A" w:rsidRPr="00D738CC" w:rsidRDefault="00F91E8A" w:rsidP="003D7BB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D738CC">
        <w:rPr>
          <w:rFonts w:ascii="Arial" w:hAnsi="Arial" w:cs="Arial"/>
          <w:b/>
          <w:bCs/>
          <w:shd w:val="clear" w:color="auto" w:fill="FFFFFF"/>
        </w:rPr>
        <w:t>Jornada diurna y nocturna redefinidas</w:t>
      </w:r>
      <w:r w:rsidR="00BA78C5" w:rsidRPr="00D738CC">
        <w:rPr>
          <w:rFonts w:ascii="Arial" w:hAnsi="Arial" w:cs="Arial"/>
          <w:shd w:val="clear" w:color="auto" w:fill="FFFFFF"/>
        </w:rPr>
        <w:t xml:space="preserve"> </w:t>
      </w:r>
    </w:p>
    <w:p w14:paraId="6AF09C31" w14:textId="3B2BC115" w:rsidR="00F50F37" w:rsidRPr="00D738CC" w:rsidRDefault="00BA78C5" w:rsidP="00FA762A">
      <w:pPr>
        <w:pStyle w:val="Prrafodelista"/>
        <w:rPr>
          <w:rFonts w:ascii="Arial" w:hAnsi="Arial" w:cs="Arial"/>
          <w:shd w:val="clear" w:color="auto" w:fill="FFFFFF"/>
        </w:rPr>
      </w:pPr>
      <w:r w:rsidRPr="00D738CC">
        <w:rPr>
          <w:rFonts w:ascii="Arial" w:hAnsi="Arial" w:cs="Arial"/>
          <w:shd w:val="clear" w:color="auto" w:fill="FFFFFF"/>
        </w:rPr>
        <w:t xml:space="preserve">Antes Diurno: 6:00 a.m. – 9:00 p.m. | Nocturno: 9:00 p.m. – 6:00 a.m. Ahora </w:t>
      </w:r>
      <w:r w:rsidR="00A11B5B" w:rsidRPr="00D738CC">
        <w:rPr>
          <w:rFonts w:ascii="Arial" w:hAnsi="Arial" w:cs="Arial"/>
          <w:shd w:val="clear" w:color="auto" w:fill="FFFFFF"/>
        </w:rPr>
        <w:t>(ART. 10°)</w:t>
      </w:r>
      <w:r w:rsidR="005613C4" w:rsidRPr="00D738CC">
        <w:rPr>
          <w:rFonts w:ascii="Arial" w:hAnsi="Arial" w:cs="Arial"/>
          <w:shd w:val="clear" w:color="auto" w:fill="FFFFFF"/>
        </w:rPr>
        <w:t xml:space="preserve"> Diurno: 6:00 a.m. – 7:00 p.m. | Nocturno: 7:00 p.m. – 6:00 a.m. El recargo nocturno aplica 2 horas antes.</w:t>
      </w:r>
    </w:p>
    <w:p w14:paraId="0077890F" w14:textId="77777777" w:rsidR="004947D9" w:rsidRPr="00377533" w:rsidRDefault="004947D9" w:rsidP="00FA762A">
      <w:pPr>
        <w:pStyle w:val="Prrafodelista"/>
        <w:rPr>
          <w:rFonts w:ascii="Arial" w:hAnsi="Arial" w:cs="Arial"/>
          <w:sz w:val="10"/>
          <w:szCs w:val="10"/>
          <w:shd w:val="clear" w:color="auto" w:fill="FFFFFF"/>
        </w:rPr>
      </w:pPr>
    </w:p>
    <w:p w14:paraId="7D27E9A8" w14:textId="7B559695" w:rsidR="004947D9" w:rsidRPr="00D738CC" w:rsidRDefault="004947D9" w:rsidP="00E33CEC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hd w:val="clear" w:color="auto" w:fill="FFFFFF"/>
        </w:rPr>
      </w:pPr>
      <w:r w:rsidRPr="00D738CC">
        <w:rPr>
          <w:rFonts w:ascii="Arial" w:hAnsi="Arial" w:cs="Arial"/>
          <w:b/>
          <w:bCs/>
          <w:shd w:val="clear" w:color="auto" w:fill="FFFFFF"/>
        </w:rPr>
        <w:t>Reducción de la jornada máxima semanal</w:t>
      </w:r>
    </w:p>
    <w:p w14:paraId="14107B10" w14:textId="2E222233" w:rsidR="004947D9" w:rsidRPr="00D738CC" w:rsidRDefault="005137B6" w:rsidP="00FA762A">
      <w:pPr>
        <w:pStyle w:val="Prrafodelista"/>
        <w:rPr>
          <w:rFonts w:ascii="Arial" w:hAnsi="Arial" w:cs="Arial"/>
          <w:shd w:val="clear" w:color="auto" w:fill="FFFFFF"/>
        </w:rPr>
      </w:pPr>
      <w:r w:rsidRPr="00D738CC">
        <w:rPr>
          <w:rFonts w:ascii="Arial" w:hAnsi="Arial" w:cs="Arial"/>
          <w:shd w:val="clear" w:color="auto" w:fill="FFFFFF"/>
        </w:rPr>
        <w:t>Antes Jornada máxima: 47 horas semanales (ya en proceso de reducción desde la Ley 2101/2021). Ahora (ART. 11°)</w:t>
      </w:r>
      <w:r w:rsidR="00E33CEC" w:rsidRPr="00D738CC">
        <w:rPr>
          <w:rFonts w:ascii="Arial" w:hAnsi="Arial" w:cs="Arial"/>
          <w:shd w:val="clear" w:color="auto" w:fill="FFFFFF"/>
        </w:rPr>
        <w:t xml:space="preserve"> desde el 15 de julio de 2025: 44 horas semanales. El proceso gradual de reducción continúa hasta llegar a 42 horas.</w:t>
      </w:r>
    </w:p>
    <w:p w14:paraId="277DC8EC" w14:textId="77777777" w:rsidR="005137B6" w:rsidRPr="00377533" w:rsidRDefault="005137B6" w:rsidP="00FA762A">
      <w:pPr>
        <w:pStyle w:val="Prrafodelista"/>
        <w:rPr>
          <w:rFonts w:ascii="Arial" w:hAnsi="Arial" w:cs="Arial"/>
          <w:sz w:val="10"/>
          <w:szCs w:val="10"/>
          <w:shd w:val="clear" w:color="auto" w:fill="FFFFFF"/>
        </w:rPr>
      </w:pPr>
    </w:p>
    <w:p w14:paraId="36B164D0" w14:textId="1D7EDCE6" w:rsidR="005137B6" w:rsidRPr="00D738CC" w:rsidRDefault="009C10AD" w:rsidP="009C10AD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hd w:val="clear" w:color="auto" w:fill="FFFFFF"/>
        </w:rPr>
      </w:pPr>
      <w:r w:rsidRPr="00D738CC">
        <w:rPr>
          <w:rFonts w:ascii="Arial" w:hAnsi="Arial" w:cs="Arial"/>
          <w:b/>
          <w:bCs/>
          <w:color w:val="141413"/>
          <w:shd w:val="clear" w:color="auto" w:fill="FFFFFF"/>
        </w:rPr>
        <w:t>Horas extras sin autorización del Ministerio</w:t>
      </w:r>
    </w:p>
    <w:p w14:paraId="05C5D3C4" w14:textId="621124D4" w:rsidR="00CA0F22" w:rsidRDefault="00CA0F22" w:rsidP="00CA0F22">
      <w:pPr>
        <w:pStyle w:val="Prrafodelista"/>
        <w:rPr>
          <w:rFonts w:ascii="Arial" w:hAnsi="Arial" w:cs="Arial"/>
          <w:color w:val="3D3D3A"/>
          <w:shd w:val="clear" w:color="auto" w:fill="FFFFFF"/>
        </w:rPr>
      </w:pPr>
      <w:r w:rsidRPr="00D738CC">
        <w:rPr>
          <w:rFonts w:ascii="Arial" w:hAnsi="Arial" w:cs="Arial"/>
          <w:shd w:val="clear" w:color="auto" w:fill="FFFFFF"/>
        </w:rPr>
        <w:t>Antes para trabajar horas extras se requería autorización previa del Ministerio de Trabajo. Ahora (ART. 1</w:t>
      </w:r>
      <w:r w:rsidR="00D738CC" w:rsidRPr="00D738CC">
        <w:rPr>
          <w:rFonts w:ascii="Arial" w:hAnsi="Arial" w:cs="Arial"/>
          <w:shd w:val="clear" w:color="auto" w:fill="FFFFFF"/>
        </w:rPr>
        <w:t>2</w:t>
      </w:r>
      <w:r w:rsidRPr="00D738CC">
        <w:rPr>
          <w:rFonts w:ascii="Arial" w:hAnsi="Arial" w:cs="Arial"/>
          <w:shd w:val="clear" w:color="auto" w:fill="FFFFFF"/>
        </w:rPr>
        <w:t>°)</w:t>
      </w:r>
      <w:r w:rsidR="00D738CC" w:rsidRPr="00D738CC">
        <w:rPr>
          <w:rFonts w:ascii="Arial" w:hAnsi="Arial" w:cs="Arial"/>
          <w:shd w:val="clear" w:color="auto" w:fill="FFFFFF"/>
        </w:rPr>
        <w:t xml:space="preserve"> se elimina la autorización previa. El empleador debe llevar registro detallado. El Ministerio pasa a un rol de inspección posterior</w:t>
      </w:r>
      <w:r w:rsidR="00D738CC" w:rsidRPr="00D738CC">
        <w:rPr>
          <w:rFonts w:ascii="Arial" w:hAnsi="Arial" w:cs="Arial"/>
          <w:color w:val="3D3D3A"/>
          <w:shd w:val="clear" w:color="auto" w:fill="FFFFFF"/>
        </w:rPr>
        <w:t>.</w:t>
      </w:r>
    </w:p>
    <w:p w14:paraId="311AEBA9" w14:textId="77777777" w:rsidR="00B91355" w:rsidRPr="00133F5B" w:rsidRDefault="00B91355" w:rsidP="00CA0F22">
      <w:pPr>
        <w:pStyle w:val="Prrafodelista"/>
        <w:rPr>
          <w:rFonts w:ascii="Arial" w:hAnsi="Arial" w:cs="Arial"/>
          <w:b/>
          <w:bCs/>
          <w:color w:val="3D3D3A"/>
          <w:sz w:val="10"/>
          <w:szCs w:val="10"/>
          <w:shd w:val="clear" w:color="auto" w:fill="FFFFFF"/>
        </w:rPr>
      </w:pPr>
    </w:p>
    <w:p w14:paraId="4D0FD2C3" w14:textId="77777777" w:rsidR="00133F5B" w:rsidRPr="00133F5B" w:rsidRDefault="00B91355" w:rsidP="00133F5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3D3D3A"/>
          <w:shd w:val="clear" w:color="auto" w:fill="FFFFFF"/>
        </w:rPr>
      </w:pPr>
      <w:r w:rsidRPr="00133F5B">
        <w:rPr>
          <w:rFonts w:ascii="Arial" w:hAnsi="Arial" w:cs="Arial"/>
          <w:b/>
          <w:bCs/>
          <w:color w:val="141413"/>
          <w:shd w:val="clear" w:color="auto" w:fill="FFFFFF"/>
        </w:rPr>
        <w:t>Límite de horas extras mantenido</w:t>
      </w:r>
    </w:p>
    <w:p w14:paraId="2D27FB71" w14:textId="2A433B58" w:rsidR="007F5816" w:rsidRPr="00133F5B" w:rsidRDefault="007F5816" w:rsidP="00133F5B">
      <w:pPr>
        <w:pStyle w:val="Prrafodelista"/>
        <w:rPr>
          <w:rFonts w:ascii="Arial" w:hAnsi="Arial" w:cs="Arial"/>
          <w:color w:val="3D3D3A"/>
          <w:shd w:val="clear" w:color="auto" w:fill="FFFFFF"/>
        </w:rPr>
      </w:pPr>
      <w:r w:rsidRPr="00133F5B">
        <w:rPr>
          <w:rFonts w:ascii="Arial" w:hAnsi="Arial" w:cs="Arial"/>
          <w:shd w:val="clear" w:color="auto" w:fill="FFFFFF"/>
        </w:rPr>
        <w:t xml:space="preserve">Antes máximo 2 horas diarias y 12 semanales de trabajo suplementario. Ahora (ART. 13°) </w:t>
      </w:r>
      <w:r w:rsidR="00133F5B" w:rsidRPr="00133F5B">
        <w:rPr>
          <w:rFonts w:ascii="Arial" w:hAnsi="Arial" w:cs="Arial"/>
          <w:shd w:val="clear" w:color="auto" w:fill="FFFFFF"/>
        </w:rPr>
        <w:t>se conserva el límite de 2 horas diarias y 12 semanales, pero con obligación de registro y nuevas sanciones por incumplimiento.</w:t>
      </w:r>
    </w:p>
    <w:p w14:paraId="5A86EB02" w14:textId="77777777" w:rsidR="00426825" w:rsidRPr="00426825" w:rsidRDefault="00426825" w:rsidP="00CA0F22">
      <w:pPr>
        <w:pStyle w:val="Prrafodelista"/>
        <w:rPr>
          <w:rFonts w:ascii="Arial" w:hAnsi="Arial" w:cs="Arial"/>
          <w:color w:val="3D3D3A"/>
          <w:sz w:val="10"/>
          <w:szCs w:val="10"/>
          <w:shd w:val="clear" w:color="auto" w:fill="FFFFFF"/>
        </w:rPr>
      </w:pPr>
    </w:p>
    <w:p w14:paraId="66096836" w14:textId="198A8347" w:rsidR="00426825" w:rsidRPr="00B85BCA" w:rsidRDefault="00426825" w:rsidP="00426825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hd w:val="clear" w:color="auto" w:fill="FFFFFF"/>
        </w:rPr>
      </w:pPr>
      <w:r w:rsidRPr="00B85BCA">
        <w:rPr>
          <w:rFonts w:ascii="Arial" w:hAnsi="Arial" w:cs="Arial"/>
          <w:b/>
          <w:bCs/>
          <w:shd w:val="clear" w:color="auto" w:fill="FFFFFF"/>
        </w:rPr>
        <w:t>Inclusión de personas en situación de discapacidad</w:t>
      </w:r>
    </w:p>
    <w:p w14:paraId="1D6754E4" w14:textId="4FAC8D1B" w:rsidR="00B85BCA" w:rsidRPr="00133F5B" w:rsidRDefault="00426825" w:rsidP="00133F5B">
      <w:pPr>
        <w:pStyle w:val="Prrafodelista"/>
        <w:rPr>
          <w:rFonts w:ascii="Arial" w:hAnsi="Arial" w:cs="Arial"/>
          <w:shd w:val="clear" w:color="auto" w:fill="FFFFFF"/>
        </w:rPr>
      </w:pPr>
      <w:r w:rsidRPr="00B85BCA">
        <w:rPr>
          <w:rFonts w:ascii="Arial" w:hAnsi="Arial" w:cs="Arial"/>
          <w:shd w:val="clear" w:color="auto" w:fill="FFFFFF"/>
        </w:rPr>
        <w:t>Antes</w:t>
      </w:r>
      <w:r w:rsidR="00E5174B" w:rsidRPr="00B85BCA">
        <w:rPr>
          <w:rFonts w:ascii="Arial" w:hAnsi="Arial" w:cs="Arial"/>
          <w:shd w:val="clear" w:color="auto" w:fill="FFFFFF"/>
        </w:rPr>
        <w:t xml:space="preserve"> no existía cuota obligatoria de empleados con discapacidad en el sector privado. </w:t>
      </w:r>
      <w:r w:rsidRPr="00B85BCA">
        <w:rPr>
          <w:rFonts w:ascii="Arial" w:hAnsi="Arial" w:cs="Arial"/>
          <w:shd w:val="clear" w:color="auto" w:fill="FFFFFF"/>
        </w:rPr>
        <w:t>Ahora (ART. 1</w:t>
      </w:r>
      <w:r w:rsidR="00E5174B" w:rsidRPr="00B85BCA">
        <w:rPr>
          <w:rFonts w:ascii="Arial" w:hAnsi="Arial" w:cs="Arial"/>
          <w:shd w:val="clear" w:color="auto" w:fill="FFFFFF"/>
        </w:rPr>
        <w:t>5</w:t>
      </w:r>
      <w:r w:rsidRPr="00B85BCA">
        <w:rPr>
          <w:rFonts w:ascii="Arial" w:hAnsi="Arial" w:cs="Arial"/>
          <w:shd w:val="clear" w:color="auto" w:fill="FFFFFF"/>
        </w:rPr>
        <w:t>°)</w:t>
      </w:r>
      <w:r w:rsidR="00E5174B" w:rsidRPr="00B85BCA">
        <w:rPr>
          <w:rFonts w:ascii="Arial" w:hAnsi="Arial" w:cs="Arial"/>
          <w:shd w:val="clear" w:color="auto" w:fill="FFFFFF"/>
        </w:rPr>
        <w:t xml:space="preserve"> </w:t>
      </w:r>
      <w:r w:rsidR="00B85BCA" w:rsidRPr="00B85BCA">
        <w:rPr>
          <w:rFonts w:ascii="Arial" w:hAnsi="Arial" w:cs="Arial"/>
          <w:shd w:val="clear" w:color="auto" w:fill="FFFFFF"/>
        </w:rPr>
        <w:t>se establecen porcentajes mínimos de vinculación de personas con discapacidad. En el primer año es opcional; desde el segundo es obligatorio.</w:t>
      </w:r>
    </w:p>
    <w:p w14:paraId="05F3C19B" w14:textId="1159C093" w:rsidR="005137B6" w:rsidRPr="00426DE6" w:rsidRDefault="005137B6" w:rsidP="00FA762A">
      <w:pPr>
        <w:pStyle w:val="Prrafodelista"/>
        <w:rPr>
          <w:rFonts w:ascii="Arial" w:hAnsi="Arial" w:cs="Arial"/>
          <w:sz w:val="10"/>
          <w:szCs w:val="10"/>
          <w:shd w:val="clear" w:color="auto" w:fill="FFFFFF"/>
        </w:rPr>
      </w:pPr>
    </w:p>
    <w:p w14:paraId="512EF158" w14:textId="3B940463" w:rsidR="00CA0F22" w:rsidRPr="00426DE6" w:rsidRDefault="004D0DA8" w:rsidP="004D0DA8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hd w:val="clear" w:color="auto" w:fill="FFFFFF"/>
        </w:rPr>
      </w:pPr>
      <w:r w:rsidRPr="00426DE6">
        <w:rPr>
          <w:rFonts w:ascii="Arial" w:hAnsi="Arial" w:cs="Arial"/>
          <w:b/>
          <w:bCs/>
          <w:shd w:val="clear" w:color="auto" w:fill="FFFFFF"/>
        </w:rPr>
        <w:t xml:space="preserve">Límites a la subordinación y </w:t>
      </w:r>
      <w:r w:rsidR="00D76DCF" w:rsidRPr="00426DE6">
        <w:rPr>
          <w:rFonts w:ascii="Arial" w:hAnsi="Arial" w:cs="Arial"/>
          <w:b/>
          <w:bCs/>
          <w:shd w:val="clear" w:color="auto" w:fill="FFFFFF"/>
        </w:rPr>
        <w:t>antidiscriminación</w:t>
      </w:r>
    </w:p>
    <w:p w14:paraId="298BFA03" w14:textId="18837351" w:rsidR="001A03C2" w:rsidRPr="00426DE6" w:rsidRDefault="00CA0F22" w:rsidP="001A03C2">
      <w:pPr>
        <w:pStyle w:val="Prrafodelista"/>
        <w:rPr>
          <w:rFonts w:ascii="Arial" w:hAnsi="Arial" w:cs="Arial"/>
          <w:shd w:val="clear" w:color="auto" w:fill="FFFFFF"/>
        </w:rPr>
      </w:pPr>
      <w:r w:rsidRPr="00426DE6">
        <w:rPr>
          <w:rFonts w:ascii="Arial" w:hAnsi="Arial" w:cs="Arial"/>
          <w:shd w:val="clear" w:color="auto" w:fill="FFFFFF"/>
        </w:rPr>
        <w:t>Antes</w:t>
      </w:r>
      <w:r w:rsidR="001A03C2" w:rsidRPr="00426DE6">
        <w:rPr>
          <w:rFonts w:ascii="Arial" w:hAnsi="Arial" w:cs="Arial"/>
          <w:shd w:val="clear" w:color="auto" w:fill="FFFFFF"/>
        </w:rPr>
        <w:t xml:space="preserve"> la subordinación era amplia: el empleador imponía órdenes sin restricciones expresas por identidad, género u orientación sexual. Ahora (ART. 16°) </w:t>
      </w:r>
      <w:r w:rsidR="00426DE6" w:rsidRPr="00426DE6">
        <w:rPr>
          <w:rFonts w:ascii="Arial" w:hAnsi="Arial" w:cs="Arial"/>
          <w:shd w:val="clear" w:color="auto" w:fill="FFFFFF"/>
        </w:rPr>
        <w:t>la subordinación no puede basarse en sexo, identidad de género, orientación sexual, raza, discapacidad, edad, preferencias políticas u otras categorías.</w:t>
      </w:r>
    </w:p>
    <w:p w14:paraId="5B3DCF65" w14:textId="77777777" w:rsidR="00C66CD6" w:rsidRPr="002958BA" w:rsidRDefault="004D2D7E" w:rsidP="00C66CD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hd w:val="clear" w:color="auto" w:fill="FFFFFF"/>
        </w:rPr>
      </w:pPr>
      <w:r w:rsidRPr="002958BA">
        <w:rPr>
          <w:rFonts w:ascii="Arial" w:hAnsi="Arial" w:cs="Arial"/>
          <w:b/>
          <w:bCs/>
          <w:shd w:val="clear" w:color="auto" w:fill="FFFFFF"/>
        </w:rPr>
        <w:lastRenderedPageBreak/>
        <w:t>Formalización del trabajo doméstico remunerado</w:t>
      </w:r>
    </w:p>
    <w:p w14:paraId="6D1EFA8E" w14:textId="2C297CFC" w:rsidR="005137B6" w:rsidRPr="002958BA" w:rsidRDefault="00CA0F22" w:rsidP="00C66CD6">
      <w:pPr>
        <w:pStyle w:val="Prrafodelista"/>
        <w:rPr>
          <w:rFonts w:ascii="Arial" w:hAnsi="Arial" w:cs="Arial"/>
          <w:shd w:val="clear" w:color="auto" w:fill="FFFFFF"/>
        </w:rPr>
      </w:pPr>
      <w:r w:rsidRPr="002958BA">
        <w:rPr>
          <w:rFonts w:ascii="Arial" w:hAnsi="Arial" w:cs="Arial"/>
          <w:shd w:val="clear" w:color="auto" w:fill="FFFFFF"/>
        </w:rPr>
        <w:t>Antes</w:t>
      </w:r>
      <w:r w:rsidR="00C66CD6" w:rsidRPr="002958BA">
        <w:rPr>
          <w:rFonts w:ascii="Arial" w:hAnsi="Arial" w:cs="Arial"/>
          <w:shd w:val="clear" w:color="auto" w:fill="FFFFFF"/>
        </w:rPr>
        <w:t xml:space="preserve"> el trabajo doméstico tenía protección teórica pero altos niveles de informalidad sin mecanismos efectivos de formalización. </w:t>
      </w:r>
      <w:r w:rsidR="005137B6" w:rsidRPr="002958BA">
        <w:rPr>
          <w:rFonts w:ascii="Arial" w:hAnsi="Arial" w:cs="Arial"/>
          <w:shd w:val="clear" w:color="auto" w:fill="FFFFFF"/>
        </w:rPr>
        <w:t xml:space="preserve">Ahora (ART. </w:t>
      </w:r>
      <w:r w:rsidR="00C66CD6" w:rsidRPr="002958BA">
        <w:rPr>
          <w:rFonts w:ascii="Arial" w:hAnsi="Arial" w:cs="Arial"/>
          <w:shd w:val="clear" w:color="auto" w:fill="FFFFFF"/>
        </w:rPr>
        <w:t>33</w:t>
      </w:r>
      <w:r w:rsidR="005137B6" w:rsidRPr="002958BA">
        <w:rPr>
          <w:rFonts w:ascii="Arial" w:hAnsi="Arial" w:cs="Arial"/>
          <w:shd w:val="clear" w:color="auto" w:fill="FFFFFF"/>
        </w:rPr>
        <w:t>°)</w:t>
      </w:r>
      <w:r w:rsidR="00C66CD6" w:rsidRPr="002958BA">
        <w:rPr>
          <w:rFonts w:ascii="Arial" w:hAnsi="Arial" w:cs="Arial"/>
          <w:shd w:val="clear" w:color="auto" w:fill="FFFFFF"/>
        </w:rPr>
        <w:t xml:space="preserve"> </w:t>
      </w:r>
      <w:r w:rsidR="002958BA" w:rsidRPr="002958BA">
        <w:rPr>
          <w:rFonts w:ascii="Arial" w:hAnsi="Arial" w:cs="Arial"/>
          <w:shd w:val="clear" w:color="auto" w:fill="FFFFFF"/>
        </w:rPr>
        <w:t>se establecen medidas concretas de formalización: acceso a seguridad social, contratos escritos y garantías específicas para trabajadoras del hogar.</w:t>
      </w:r>
    </w:p>
    <w:p w14:paraId="656DB96F" w14:textId="77777777" w:rsidR="005137B6" w:rsidRDefault="005137B6" w:rsidP="00FA762A">
      <w:pPr>
        <w:pStyle w:val="Prrafodelista"/>
        <w:rPr>
          <w:rFonts w:ascii="Arial" w:hAnsi="Arial" w:cs="Arial"/>
          <w:sz w:val="24"/>
          <w:szCs w:val="24"/>
          <w:shd w:val="clear" w:color="auto" w:fill="FFFFFF"/>
        </w:rPr>
      </w:pPr>
    </w:p>
    <w:p w14:paraId="0250D9E6" w14:textId="06EA929E" w:rsidR="005137B6" w:rsidRPr="00A44973" w:rsidRDefault="005137B6" w:rsidP="00A44973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470BB157" w14:textId="77777777" w:rsidR="009256E4" w:rsidRDefault="009256E4" w:rsidP="00FA762A">
      <w:pPr>
        <w:pStyle w:val="Prrafodelista"/>
        <w:rPr>
          <w:rFonts w:ascii="Arial" w:hAnsi="Arial" w:cs="Arial"/>
          <w:sz w:val="24"/>
          <w:szCs w:val="24"/>
          <w:shd w:val="clear" w:color="auto" w:fill="FFFFFF"/>
        </w:rPr>
      </w:pPr>
    </w:p>
    <w:p w14:paraId="41B6B23F" w14:textId="77777777" w:rsidR="009256E4" w:rsidRPr="005613C4" w:rsidRDefault="009256E4" w:rsidP="00FA762A">
      <w:pPr>
        <w:pStyle w:val="Prrafodelista"/>
        <w:rPr>
          <w:rFonts w:ascii="Arial" w:hAnsi="Arial" w:cs="Arial"/>
          <w:sz w:val="24"/>
          <w:szCs w:val="24"/>
        </w:rPr>
      </w:pPr>
    </w:p>
    <w:p w14:paraId="6E40E4E7" w14:textId="77777777" w:rsidR="006E7890" w:rsidRPr="00BA78C5" w:rsidRDefault="006E7890" w:rsidP="006E7890">
      <w:pPr>
        <w:rPr>
          <w:rFonts w:ascii="Arial" w:hAnsi="Arial" w:cs="Arial"/>
          <w:sz w:val="24"/>
          <w:szCs w:val="24"/>
        </w:rPr>
      </w:pPr>
    </w:p>
    <w:p w14:paraId="105A916E" w14:textId="77777777" w:rsidR="006E7890" w:rsidRPr="006E7890" w:rsidRDefault="006E7890" w:rsidP="006E7890">
      <w:pPr>
        <w:rPr>
          <w:rFonts w:ascii="Arial" w:hAnsi="Arial" w:cs="Arial"/>
          <w:sz w:val="24"/>
          <w:szCs w:val="24"/>
        </w:rPr>
      </w:pPr>
    </w:p>
    <w:sectPr w:rsidR="006E7890" w:rsidRPr="006E78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24160"/>
    <w:multiLevelType w:val="hybridMultilevel"/>
    <w:tmpl w:val="1BA85198"/>
    <w:lvl w:ilvl="0" w:tplc="DAE898B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84"/>
    <w:rsid w:val="00021396"/>
    <w:rsid w:val="00027D23"/>
    <w:rsid w:val="000943AC"/>
    <w:rsid w:val="000E23D5"/>
    <w:rsid w:val="00133F5B"/>
    <w:rsid w:val="00186F5C"/>
    <w:rsid w:val="001A03C2"/>
    <w:rsid w:val="00237BC2"/>
    <w:rsid w:val="002958BA"/>
    <w:rsid w:val="0031599C"/>
    <w:rsid w:val="00377533"/>
    <w:rsid w:val="003D7BB4"/>
    <w:rsid w:val="003E3556"/>
    <w:rsid w:val="00426825"/>
    <w:rsid w:val="00426DE6"/>
    <w:rsid w:val="004947D9"/>
    <w:rsid w:val="004D0DA8"/>
    <w:rsid w:val="004D2D7E"/>
    <w:rsid w:val="005137B6"/>
    <w:rsid w:val="005613C4"/>
    <w:rsid w:val="00570C27"/>
    <w:rsid w:val="005720E5"/>
    <w:rsid w:val="005A1D09"/>
    <w:rsid w:val="005D588A"/>
    <w:rsid w:val="006E4C37"/>
    <w:rsid w:val="006E7890"/>
    <w:rsid w:val="00740BF3"/>
    <w:rsid w:val="0076536F"/>
    <w:rsid w:val="007F5816"/>
    <w:rsid w:val="009256E4"/>
    <w:rsid w:val="00936156"/>
    <w:rsid w:val="009C10AD"/>
    <w:rsid w:val="009F03E4"/>
    <w:rsid w:val="00A11B5B"/>
    <w:rsid w:val="00A44973"/>
    <w:rsid w:val="00B85BCA"/>
    <w:rsid w:val="00B91355"/>
    <w:rsid w:val="00BA78C5"/>
    <w:rsid w:val="00C66CD6"/>
    <w:rsid w:val="00C85302"/>
    <w:rsid w:val="00CA0F22"/>
    <w:rsid w:val="00D72D8D"/>
    <w:rsid w:val="00D738CC"/>
    <w:rsid w:val="00D76DCF"/>
    <w:rsid w:val="00DD15C6"/>
    <w:rsid w:val="00E17E84"/>
    <w:rsid w:val="00E229B7"/>
    <w:rsid w:val="00E24D93"/>
    <w:rsid w:val="00E33CEC"/>
    <w:rsid w:val="00E5174B"/>
    <w:rsid w:val="00F209B9"/>
    <w:rsid w:val="00F50F37"/>
    <w:rsid w:val="00F70E7F"/>
    <w:rsid w:val="00F91E8A"/>
    <w:rsid w:val="00FA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552D6"/>
  <w15:chartTrackingRefBased/>
  <w15:docId w15:val="{935BE867-FE21-47EC-B97D-8012648DD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7B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7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905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462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Sánchez</dc:creator>
  <cp:keywords/>
  <dc:description/>
  <cp:lastModifiedBy>Estefania Sánchez</cp:lastModifiedBy>
  <cp:revision>59</cp:revision>
  <dcterms:created xsi:type="dcterms:W3CDTF">2026-05-08T17:47:00Z</dcterms:created>
  <dcterms:modified xsi:type="dcterms:W3CDTF">2026-05-12T23:18:00Z</dcterms:modified>
</cp:coreProperties>
</file>