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8A72" w14:textId="30F11404" w:rsidR="00FA66AC" w:rsidRPr="004B6EC4" w:rsidRDefault="00816EB8" w:rsidP="00FA66AC">
      <w:pPr>
        <w:rPr>
          <w:b/>
          <w:bCs/>
          <w:sz w:val="20"/>
          <w:szCs w:val="20"/>
        </w:rPr>
      </w:pPr>
      <w:r w:rsidRPr="004B6EC4">
        <w:rPr>
          <w:b/>
          <w:bCs/>
          <w:sz w:val="20"/>
          <w:szCs w:val="20"/>
        </w:rPr>
        <w:t>Revisión sistemática del uso de psilocibina en tratamientos para depresión y ansiedad</w:t>
      </w:r>
      <w:r w:rsidR="003106EE">
        <w:rPr>
          <w:b/>
          <w:bCs/>
          <w:sz w:val="20"/>
          <w:szCs w:val="20"/>
        </w:rPr>
        <w:t xml:space="preserve"> en ECA</w:t>
      </w:r>
    </w:p>
    <w:p w14:paraId="037CADCE" w14:textId="2B1C9D7A" w:rsidR="00FA66AC" w:rsidRPr="004B6EC4" w:rsidRDefault="00FA66AC" w:rsidP="00FA66AC">
      <w:pPr>
        <w:rPr>
          <w:sz w:val="20"/>
          <w:szCs w:val="20"/>
        </w:rPr>
      </w:pPr>
      <w:r w:rsidRPr="004B6EC4">
        <w:rPr>
          <w:sz w:val="20"/>
          <w:szCs w:val="20"/>
        </w:rPr>
        <w:t>RESUMEN</w:t>
      </w:r>
      <w:r w:rsidR="00EE57B9" w:rsidRPr="004B6EC4">
        <w:rPr>
          <w:sz w:val="20"/>
          <w:szCs w:val="20"/>
        </w:rPr>
        <w:t xml:space="preserve"> realizar con la gui</w:t>
      </w:r>
      <w:r w:rsidR="00A33A52">
        <w:rPr>
          <w:sz w:val="20"/>
          <w:szCs w:val="20"/>
        </w:rPr>
        <w:t>A</w:t>
      </w:r>
    </w:p>
    <w:p w14:paraId="68F2EB5E" w14:textId="15421719" w:rsidR="00C04D55" w:rsidRPr="004B6EC4" w:rsidRDefault="00FA66AC" w:rsidP="00C04D55">
      <w:pPr>
        <w:rPr>
          <w:sz w:val="20"/>
          <w:szCs w:val="20"/>
        </w:rPr>
      </w:pPr>
      <w:r w:rsidRPr="004B6EC4">
        <w:rPr>
          <w:sz w:val="20"/>
          <w:szCs w:val="20"/>
        </w:rPr>
        <w:t>INTRODUCCIÓN</w:t>
      </w:r>
    </w:p>
    <w:p w14:paraId="77A3DD4F" w14:textId="47BB55A3" w:rsidR="008C02C0" w:rsidRPr="004B6EC4" w:rsidRDefault="008C02C0" w:rsidP="008C02C0">
      <w:pPr>
        <w:rPr>
          <w:rFonts w:ascii="Arial" w:hAnsi="Arial" w:cs="Arial"/>
          <w:sz w:val="20"/>
          <w:szCs w:val="20"/>
        </w:rPr>
      </w:pPr>
      <w:r w:rsidRPr="004B6EC4">
        <w:rPr>
          <w:rFonts w:ascii="Arial" w:hAnsi="Arial" w:cs="Arial"/>
          <w:sz w:val="20"/>
          <w:szCs w:val="20"/>
        </w:rPr>
        <w:t>De acuerdo con la definición de la Organización Mundial de la Salud (OMS) “El trastorno depresivo (también conocido como depresión) es un trastorno mental común. Se caracteriza por un estado de ánimo deprimido o por la pérdida de placer o interés en las actividades durante largos períodos de tiempo.</w:t>
      </w:r>
      <w:r w:rsidRPr="004B6EC4">
        <w:rPr>
          <w:rFonts w:ascii="Arial" w:hAnsi="Arial" w:cs="Arial"/>
          <w:b/>
          <w:bCs/>
          <w:sz w:val="20"/>
          <w:szCs w:val="20"/>
        </w:rPr>
        <w:t xml:space="preserve"> </w:t>
      </w:r>
      <w:r w:rsidRPr="004B6EC4">
        <w:rPr>
          <w:rFonts w:ascii="Arial" w:hAnsi="Arial" w:cs="Arial"/>
          <w:sz w:val="20"/>
          <w:szCs w:val="20"/>
        </w:rPr>
        <w:t xml:space="preserve">La depresión es diferente de los cambios habituales de humor y de los sentimientos que surgen en la vida cotidiana. Puede afectar a todos los aspectos de la vida, incluidas las relaciones con la familia, los amigos y la comunidad. Puede ser consecuencia de problemas en la escuela y en el trabajo, o bien provocar dichos problemas” </w:t>
      </w:r>
      <w:r w:rsidRPr="004B6EC4">
        <w:rPr>
          <w:rFonts w:ascii="Arial" w:hAnsi="Arial" w:cs="Arial"/>
          <w:sz w:val="20"/>
          <w:szCs w:val="20"/>
        </w:rPr>
        <w:fldChar w:fldCharType="begin"/>
      </w:r>
      <w:r w:rsidR="007130C3" w:rsidRPr="004B6EC4">
        <w:rPr>
          <w:rFonts w:ascii="Arial" w:hAnsi="Arial" w:cs="Arial"/>
          <w:sz w:val="20"/>
          <w:szCs w:val="20"/>
        </w:rPr>
        <w:instrText xml:space="preserve"> ADDIN ZOTERO_ITEM CSL_CITATION {"citationID":"LEj6Lp1n","properties":{"unsorted":false,"formattedCitation":"[1]","plainCitation":"[1]","noteIndex":0},"citationItems":[{"id":97,"uris":["http://zotero.org/users/local/YIAzD8Xc/items/GG8QMXLK"],"itemData":{"id":97,"type":"webpage","abstract":"La depresión es un trastorno mental común. Se estima que en todo el mundo el 5% de los adultos padecen depresión","language":"es","title":"Trastorno depresivo (depresión)","URL":"https://www.who.int/es/news-room/fact-sheets/detail/depression","author":[{"literal":"World health organization"}],"accessed":{"date-parts":[["2025",11,3]]}}}],"schema":"https://github.com/citation-style-language/schema/raw/master/csl-citation.json"} </w:instrText>
      </w:r>
      <w:r w:rsidRPr="004B6EC4">
        <w:rPr>
          <w:rFonts w:ascii="Arial" w:hAnsi="Arial" w:cs="Arial"/>
          <w:sz w:val="20"/>
          <w:szCs w:val="20"/>
        </w:rPr>
        <w:fldChar w:fldCharType="separate"/>
      </w:r>
      <w:r w:rsidR="007130C3" w:rsidRPr="004B6EC4">
        <w:rPr>
          <w:rFonts w:ascii="Calibri" w:hAnsi="Calibri" w:cs="Calibri"/>
          <w:sz w:val="20"/>
          <w:szCs w:val="20"/>
        </w:rPr>
        <w:t>[1]</w:t>
      </w:r>
      <w:r w:rsidRPr="004B6EC4">
        <w:rPr>
          <w:rFonts w:ascii="Arial" w:hAnsi="Arial" w:cs="Arial"/>
          <w:sz w:val="20"/>
          <w:szCs w:val="20"/>
        </w:rPr>
        <w:fldChar w:fldCharType="end"/>
      </w:r>
    </w:p>
    <w:p w14:paraId="646E06E0" w14:textId="1D421AA7" w:rsidR="008C02C0" w:rsidRDefault="008C02C0" w:rsidP="008C02C0">
      <w:pPr>
        <w:rPr>
          <w:rFonts w:ascii="Arial" w:hAnsi="Arial" w:cs="Arial"/>
          <w:sz w:val="20"/>
          <w:szCs w:val="20"/>
        </w:rPr>
      </w:pPr>
      <w:r w:rsidRPr="004B6EC4">
        <w:rPr>
          <w:rFonts w:ascii="Arial" w:hAnsi="Arial" w:cs="Arial"/>
          <w:sz w:val="20"/>
          <w:szCs w:val="20"/>
        </w:rPr>
        <w:t>La misma organización asevera que “Todo el mundo puede sentir ansiedad en algún momento, pero las personas con trastornos de ansiedad suelen experimentar un miedo y una preocupación intensos y excesivos. Estos sentimientos suelen ir acompañados de tensión física y otros síntomas conductuales y cognitivos. Son difíciles de controlar, causan un malestar considerable y pueden prolongarse durante mucho tiempo si no se tratan. Los trastornos de ansiedad interfieren en las actividades cotidianas y pueden afectar a la vida familiar, social, escolar o laboral de una persona”.</w:t>
      </w:r>
      <w:r w:rsidRPr="004B6EC4">
        <w:rPr>
          <w:rFonts w:ascii="Arial" w:hAnsi="Arial" w:cs="Arial"/>
          <w:sz w:val="20"/>
          <w:szCs w:val="20"/>
        </w:rPr>
        <w:fldChar w:fldCharType="begin"/>
      </w:r>
      <w:r w:rsidR="007130C3" w:rsidRPr="004B6EC4">
        <w:rPr>
          <w:rFonts w:ascii="Arial" w:hAnsi="Arial" w:cs="Arial"/>
          <w:sz w:val="20"/>
          <w:szCs w:val="20"/>
        </w:rPr>
        <w:instrText xml:space="preserve"> ADDIN ZOTERO_ITEM CSL_CITATION {"citationID":"CNMe8QRl","properties":{"unsorted":false,"formattedCitation":"[2]","plainCitation":"[2]","noteIndex":0},"citationItems":[{"id":95,"uris":["http://zotero.org/users/local/YIAzD8Xc/items/LWAFYUB2"],"itemData":{"id":95,"type":"webpage","language":"es","title":"Trastornos de ansiedad","URL":"https://www.who.int/es/news-room/fact-sheets/detail/anxiety-disorders","author":[{"literal":"World health organization"}],"accessed":{"date-parts":[["2025",11,3]]}}}],"schema":"https://github.com/citation-style-language/schema/raw/master/csl-citation.json"} </w:instrText>
      </w:r>
      <w:r w:rsidRPr="004B6EC4">
        <w:rPr>
          <w:rFonts w:ascii="Arial" w:hAnsi="Arial" w:cs="Arial"/>
          <w:sz w:val="20"/>
          <w:szCs w:val="20"/>
        </w:rPr>
        <w:fldChar w:fldCharType="separate"/>
      </w:r>
      <w:r w:rsidR="007130C3" w:rsidRPr="004B6EC4">
        <w:rPr>
          <w:rFonts w:ascii="Calibri" w:hAnsi="Calibri" w:cs="Calibri"/>
          <w:sz w:val="20"/>
          <w:szCs w:val="20"/>
        </w:rPr>
        <w:t>[2]</w:t>
      </w:r>
      <w:r w:rsidRPr="004B6EC4">
        <w:rPr>
          <w:rFonts w:ascii="Arial" w:hAnsi="Arial" w:cs="Arial"/>
          <w:sz w:val="20"/>
          <w:szCs w:val="20"/>
        </w:rPr>
        <w:fldChar w:fldCharType="end"/>
      </w:r>
    </w:p>
    <w:p w14:paraId="638E3AC6" w14:textId="60D92621" w:rsidR="00994F0A" w:rsidRPr="00C727EC" w:rsidRDefault="00994F0A" w:rsidP="00994F0A">
      <w:pPr>
        <w:rPr>
          <w:rFonts w:ascii="Arial" w:hAnsi="Arial" w:cs="Arial"/>
          <w:sz w:val="20"/>
          <w:szCs w:val="20"/>
        </w:rPr>
      </w:pPr>
      <w:r w:rsidRPr="00C727EC">
        <w:rPr>
          <w:rFonts w:ascii="Arial" w:hAnsi="Arial" w:cs="Arial"/>
          <w:sz w:val="20"/>
          <w:szCs w:val="20"/>
        </w:rPr>
        <w:t xml:space="preserve">La depresión y los trastornos de ansiedad se han consolidado como una de las principales causas de discapacidad a nivel mundial, afectando de manera significativa el desempeño laboral, social y familiar de las personas que los padecen. Probablemente una parte de la población que padece estos </w:t>
      </w:r>
      <w:proofErr w:type="gramStart"/>
      <w:r w:rsidRPr="00C727EC">
        <w:rPr>
          <w:rFonts w:ascii="Arial" w:hAnsi="Arial" w:cs="Arial"/>
          <w:sz w:val="20"/>
          <w:szCs w:val="20"/>
        </w:rPr>
        <w:t>trastornos,</w:t>
      </w:r>
      <w:proofErr w:type="gramEnd"/>
      <w:r w:rsidRPr="00C727EC">
        <w:rPr>
          <w:rFonts w:ascii="Arial" w:hAnsi="Arial" w:cs="Arial"/>
          <w:sz w:val="20"/>
          <w:szCs w:val="20"/>
        </w:rPr>
        <w:t xml:space="preserve"> desconoce la sintomatología y por ello nunca atiende su padecimiento con profesionales de la salud, sin embargo, usa y abusa de sustancias controladas sin prescripción médica como los inhibidores selectivos de la recaptación de la serotonina (ISRS) o micro dosis de psilocibina en entornos no controlados. </w:t>
      </w:r>
      <w:r w:rsidR="00C46986">
        <w:rPr>
          <w:rFonts w:ascii="Arial" w:hAnsi="Arial" w:cs="Arial"/>
          <w:sz w:val="20"/>
          <w:szCs w:val="20"/>
        </w:rPr>
        <w:fldChar w:fldCharType="begin"/>
      </w:r>
      <w:r w:rsidR="00C46986">
        <w:rPr>
          <w:rFonts w:ascii="Arial" w:hAnsi="Arial" w:cs="Arial"/>
          <w:sz w:val="20"/>
          <w:szCs w:val="20"/>
        </w:rPr>
        <w:instrText xml:space="preserve"> ADDIN ZOTERO_ITEM CSL_CITATION {"citationID":"ah4PTcle","properties":{"unsorted":false,"formattedCitation":"[3, 4]","plainCitation":"[3, 4]","noteIndex":0},"citationItems":[{"id":145,"uris":["http://zotero.org/users/local/YIAzD8Xc/items/NW96ATCA"],"itemData":{"id":145,"type":"webpage","abstract":"La salud mental es de vital importancia para todos, en todas partes. En todo el mundo, las necesidades en materia\nde salud mental son considerables, pero las respuestas son insuficientes e inadecuadas. El presente informe\nmundial sobre salud mental se ha concebido para inspirar y fundamentar una mejor salud mental para todos. Al basarse\nen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salud\nmental y en el fortalecimiento de los sistemas de atención de salud mental.","language":"es","title":"Informe mundial sobre salud mental: Transformar la salud mental para todos","title-short":"Informe mundial sobre salud mental","URL":"https://www.who.int/es/publications/i/item/9789240050860","accessed":{"date-parts":[["2026",4,3]]}}},{"id":234,"uris":["http://zotero.org/users/local/YIAzD8Xc/items/EMKZYCJX"],"itemData":{"id":234,"type":"webpage","abstract":"Observatorio Mexicano de Salud mental y Adicciones","container-title":"gob.mx","language":"es","title":"Informe sobre la Situación de la salud mental y el consumo de sustancias en México","URL":"http://www.gob.mx/conasama/documentos/informe-sobre-la-situacion-de-la-salud-mental-y-el-consumo-de-sustancias-en-mexico","author":[{"family":"CONASAMA","given":""}],"accessed":{"date-parts":[["2026",4,7]]}}}],"schema":"https://github.com/citation-style-language/schema/raw/master/csl-citation.json"} </w:instrText>
      </w:r>
      <w:r w:rsidR="00C46986">
        <w:rPr>
          <w:rFonts w:ascii="Arial" w:hAnsi="Arial" w:cs="Arial"/>
          <w:sz w:val="20"/>
          <w:szCs w:val="20"/>
        </w:rPr>
        <w:fldChar w:fldCharType="separate"/>
      </w:r>
      <w:r w:rsidR="00C46986" w:rsidRPr="00C46986">
        <w:rPr>
          <w:rFonts w:ascii="Calibri" w:hAnsi="Calibri" w:cs="Calibri"/>
          <w:sz w:val="20"/>
        </w:rPr>
        <w:t>[3, 4]</w:t>
      </w:r>
      <w:r w:rsidR="00C46986">
        <w:rPr>
          <w:rFonts w:ascii="Arial" w:hAnsi="Arial" w:cs="Arial"/>
          <w:sz w:val="20"/>
          <w:szCs w:val="20"/>
        </w:rPr>
        <w:fldChar w:fldCharType="end"/>
      </w:r>
    </w:p>
    <w:p w14:paraId="5CAFE919" w14:textId="5F69B793" w:rsidR="00994F0A" w:rsidRPr="004B6EC4" w:rsidRDefault="00994F0A" w:rsidP="008C02C0">
      <w:pPr>
        <w:rPr>
          <w:rFonts w:ascii="Arial" w:hAnsi="Arial" w:cs="Arial"/>
          <w:sz w:val="20"/>
          <w:szCs w:val="20"/>
        </w:rPr>
      </w:pPr>
      <w:r w:rsidRPr="00C727EC">
        <w:rPr>
          <w:rFonts w:ascii="Arial" w:hAnsi="Arial" w:cs="Arial"/>
          <w:sz w:val="20"/>
          <w:szCs w:val="20"/>
        </w:rPr>
        <w:t>Incluso entre quienes inician tratamiento psiquiátrico, se observa una elevada tasa de abandono, en seguimientos de varios años, asociados a factores como la falta de recursos económicos, la percepción de mejoría prematura, los efectos secundarios de los medicamentos o deficiencia de atención integral entre nutriólogos, psiquiatras, psicólogos y médicos de primer nivel. Cuando se inicia la terapia psicológica (Congnitivo-conductal) la respuesta puede ser limitada, debido a que los avances son lentos porque se tiene que cambiar el estilo de vida. El paciente entonces prefiere enfoques centrados únicamente en la supresión sintomática, es decir el uso de fármacos. Adicionalmente el paciente obvia información debido a que siente vergüenza, no recuerda el evento traumático desencadenante o teme que esa información tan delicada caiga en manos poco éticas, por su parte el sector salud tampoco cuenta con herramientas diagnósticas certeras en muchos casos en el primer nivel de atención. En este contexto han emergido nuevas vías terapéuticas no convencionales como el uso de psilocibina, cuya evidencia preliminar que muestra la literatura, sugiere una efectividad relevante en la reducción de la depresión y la ansiedad.</w:t>
      </w:r>
      <w:r w:rsidRPr="004B6EC4">
        <w:rPr>
          <w:rFonts w:ascii="Arial" w:hAnsi="Arial" w:cs="Arial"/>
          <w:sz w:val="20"/>
          <w:szCs w:val="20"/>
        </w:rPr>
        <w:t xml:space="preserve"> </w:t>
      </w:r>
      <w:r w:rsidR="00BC1F76">
        <w:rPr>
          <w:rFonts w:ascii="Arial" w:hAnsi="Arial" w:cs="Arial"/>
          <w:sz w:val="20"/>
          <w:szCs w:val="20"/>
        </w:rPr>
        <w:fldChar w:fldCharType="begin"/>
      </w:r>
      <w:r w:rsidR="00BC1F76">
        <w:rPr>
          <w:rFonts w:ascii="Arial" w:hAnsi="Arial" w:cs="Arial"/>
          <w:sz w:val="20"/>
          <w:szCs w:val="20"/>
        </w:rPr>
        <w:instrText xml:space="preserve"> ADDIN ZOTERO_ITEM CSL_CITATION {"citationID":"YcqbQLqD","properties":{"unsorted":false,"formattedCitation":"[5]","plainCitation":"[5]","noteIndex":0},"citationItems":[{"id":226,"uris":["http://zotero.org/users/local/YIAzD8Xc/items/AMFT6TI3"],"itemData":{"id":226,"type":"article-journal","abstract":"Durante la consulta médica brindada en el Centro de Atención Social San Martín Cuautlalpan se ha encontrado un alto índice de trastornos mentales, los más prevalentes son el trastorno de ansiedad generalizada y trastorno depresivo mayor. Descubriendo un alto índice de recaídas posterior al inicio del tratamiento que conllevan a disfunción ante la familia, así como ante la sociedad. Se realizó un estudio transversal, observacional, intervencionista, durante el periodo de septiembre del 2020 a Julio del 2021 en la localidad de San Martin Cuautlalpan del municipio de Chalco de Covarrubias en el Estado de México. Durante la consulta se logró diagnosticar e incluir al estudio a 120 pacientes a quienes se les dio seguimiento con 4 consultas de base a intervalos ya establecidos, y se les realizaron llamadas telefónicas para indagar motivos de inasistencia dado el caso. El apego al tratamiento se estadificó en tres categorías: a) Ninguno: sin ninguna toma del medicamento; b) Poco: toma del medicamento de forma irregular durante el último mes; y c) Bueno: toma adecuada y de forma regular del medicamento durante el último mes. Para el análisis de los datos se comparó a los sujetos que abandonan el tratamiento farmacológico y continuaron en las consultas médicas establecidas entre aquellos que no continuaron con las consultas médicas establecidas, realizando una serie de análisis bivariados. Se utilizó la prueba de X2 para explorar la asociación entre las variables categóricas nominales y el abandono del tratamiento Observamos que la asistencia a las consultas programadas no influye en el abandono al tratamiento farmacológico. Sin embargo, en aquellos pacientes que no completaron las consultas programadas se encontró un alto desconocimiento de la enfermedad; así mismo, en aquellos pacientes que sí lograron asistir a las consultas establecidas el factor que más influyó fue el socioeconómico Se encontró que los motivos del abandono al tratamiento farmacológico difieren entre los pacientes de ambos trastornos, siendo más prevalente en los pacientes con trastorno depresivo mayor el factor socioeconómico, y para los pacientes con trastorno de ansiedad generalizada fue la falta de conciencia de la enfermedad.","language":"spa","license":"info:eu-repo/semantics/openAccess","note":"Accepted: 2022-05-09T15:34:19Z","publisher":"Universidad Autónoma Metropolitana. Unidad Xochimilco","source":"repositorio.xoc.uam.mx","title":"Factores que inciden en el abandono del tratamiento farmacológico de los trastornos de ansiedad generalizada y trastornos depresivos mayores en los habitantes de la localidad de San Martín Cuautlalpan en el municipio de Chalco de Díaz Covarrubias, Estado de México","URL":"https://repositorio.xoc.uam.mx/jspui/handle/123456789/26444","author":[{"family":"Solís Aranda","given":"María Teresa"}],"accessed":{"date-parts":[["2026",4,7]]},"issued":{"date-parts":[["2022"]]}}}],"schema":"https://github.com/citation-style-language/schema/raw/master/csl-citation.json"} </w:instrText>
      </w:r>
      <w:r w:rsidR="00BC1F76">
        <w:rPr>
          <w:rFonts w:ascii="Arial" w:hAnsi="Arial" w:cs="Arial"/>
          <w:sz w:val="20"/>
          <w:szCs w:val="20"/>
        </w:rPr>
        <w:fldChar w:fldCharType="separate"/>
      </w:r>
      <w:r w:rsidR="00BC1F76" w:rsidRPr="00BC1F76">
        <w:rPr>
          <w:rFonts w:ascii="Calibri" w:hAnsi="Calibri" w:cs="Calibri"/>
          <w:sz w:val="20"/>
        </w:rPr>
        <w:t>[5]</w:t>
      </w:r>
      <w:r w:rsidR="00BC1F76">
        <w:rPr>
          <w:rFonts w:ascii="Arial" w:hAnsi="Arial" w:cs="Arial"/>
          <w:sz w:val="20"/>
          <w:szCs w:val="20"/>
        </w:rPr>
        <w:fldChar w:fldCharType="end"/>
      </w:r>
    </w:p>
    <w:p w14:paraId="5A21CE58" w14:textId="024C4D48" w:rsidR="007B20E0" w:rsidRPr="004B6EC4" w:rsidRDefault="007B20E0" w:rsidP="007B20E0">
      <w:pPr>
        <w:rPr>
          <w:rFonts w:ascii="Arial" w:hAnsi="Arial" w:cs="Arial"/>
          <w:sz w:val="20"/>
          <w:szCs w:val="20"/>
          <w:lang w:val="es-MX"/>
        </w:rPr>
      </w:pPr>
      <w:r w:rsidRPr="004B6EC4">
        <w:rPr>
          <w:rFonts w:ascii="Arial" w:hAnsi="Arial" w:cs="Arial"/>
          <w:sz w:val="20"/>
          <w:szCs w:val="20"/>
          <w:lang w:val="es-MX"/>
        </w:rPr>
        <w:t xml:space="preserve">México es un país que forma parte del aumento en la incidencia en estos </w:t>
      </w:r>
      <w:r w:rsidR="00407F4B" w:rsidRPr="004B6EC4">
        <w:rPr>
          <w:rFonts w:ascii="Arial" w:hAnsi="Arial" w:cs="Arial"/>
          <w:sz w:val="20"/>
          <w:szCs w:val="20"/>
          <w:lang w:val="es-MX"/>
        </w:rPr>
        <w:t>trastornos</w:t>
      </w:r>
      <w:r w:rsidRPr="004B6EC4">
        <w:rPr>
          <w:rFonts w:ascii="Arial" w:hAnsi="Arial" w:cs="Arial"/>
          <w:sz w:val="20"/>
          <w:szCs w:val="20"/>
          <w:lang w:val="es-MX"/>
        </w:rPr>
        <w:t xml:space="preserve"> a nivel mundial, de estos trastornos altamente discapacitantes, han derivado diversos problemas sociales que afectan principalmente a la población en edad laboral </w:t>
      </w:r>
      <w:r w:rsidRPr="004B6EC4">
        <w:rPr>
          <w:rFonts w:ascii="Arial" w:hAnsi="Arial" w:cs="Arial"/>
          <w:sz w:val="20"/>
          <w:szCs w:val="20"/>
          <w:lang w:val="es-MX"/>
        </w:rPr>
        <w:fldChar w:fldCharType="begin"/>
      </w:r>
      <w:r w:rsidR="007130C3" w:rsidRPr="004B6EC4">
        <w:rPr>
          <w:rFonts w:ascii="Arial" w:hAnsi="Arial" w:cs="Arial"/>
          <w:sz w:val="20"/>
          <w:szCs w:val="20"/>
          <w:lang w:val="es-MX"/>
        </w:rPr>
        <w:instrText xml:space="preserve"> ADDIN ZOTERO_ITEM CSL_CITATION {"citationID":"xm05q6MT","properties":{"unsorted":false,"formattedCitation":"[3]","plainCitation":"[3]","noteIndex":0},"citationItems":[{"id":145,"uris":["http://zotero.org/users/local/YIAzD8Xc/items/NW96ATCA"],"itemData":{"id":145,"type":"webpage","abstract":"La salud mental es de vital importancia para todos, en todas partes. En todo el mundo, las necesidades en materia\nde salud mental son considerables, pero las respuestas son insuficientes e inadecuadas. El presente informe\nmundial sobre salud mental se ha concebido para inspirar y fundamentar una mejor salud mental para todos. Al basarse\nen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salud\nmental y en el fortalecimiento de los sistemas de atención de salud mental.","language":"es","title":"Informe mundial sobre salud mental: Transformar la salud mental para todos","title-short":"Informe mundial sobre salud mental","URL":"https://www.who.int/es/publications/i/item/9789240050860","accessed":{"date-parts":[["2026",4,3]]}}}],"schema":"https://github.com/citation-style-language/schema/raw/master/csl-citation.json"} </w:instrText>
      </w:r>
      <w:r w:rsidRPr="004B6EC4">
        <w:rPr>
          <w:rFonts w:ascii="Arial" w:hAnsi="Arial" w:cs="Arial"/>
          <w:sz w:val="20"/>
          <w:szCs w:val="20"/>
          <w:lang w:val="es-MX"/>
        </w:rPr>
        <w:fldChar w:fldCharType="separate"/>
      </w:r>
      <w:r w:rsidR="007130C3" w:rsidRPr="004B6EC4">
        <w:rPr>
          <w:rFonts w:ascii="Calibri" w:hAnsi="Calibri" w:cs="Calibri"/>
          <w:sz w:val="20"/>
          <w:szCs w:val="20"/>
          <w:lang w:val="es-MX"/>
        </w:rPr>
        <w:t>[3]</w:t>
      </w:r>
      <w:r w:rsidRPr="004B6EC4">
        <w:rPr>
          <w:rFonts w:ascii="Arial" w:hAnsi="Arial" w:cs="Arial"/>
          <w:sz w:val="20"/>
          <w:szCs w:val="20"/>
          <w:lang w:val="es-MX"/>
        </w:rPr>
        <w:fldChar w:fldCharType="end"/>
      </w:r>
      <w:r w:rsidRPr="004B6EC4">
        <w:rPr>
          <w:rFonts w:ascii="Arial" w:hAnsi="Arial" w:cs="Arial"/>
          <w:sz w:val="20"/>
          <w:szCs w:val="20"/>
          <w:lang w:val="es-MX"/>
        </w:rPr>
        <w:t xml:space="preserve">, estos trastornos podrían no ser diagnosticados en la población que decide no acudir a consulta médica, y agravarse en muchos casos, que en un intento de mitigar los estragos provocados por la depresión, al tener que manejar situaciones familiares, socioculturales y laborales entre otras, buscan efectos rápidos, que muy pocas veces resultan eficientes y en ocasiones pueden provocar adicciones, ansiedad y malestar. Como se puede observar en los resultados obtenidos sobre la incidencia en el uso de drogas, siendo la metanfetamina la droga más frecuentemente utilizada por hombres y mujeres, cuyo efecto principal es la estimulación del sistema </w:t>
      </w:r>
      <w:r w:rsidR="00446868">
        <w:rPr>
          <w:rFonts w:ascii="Arial" w:hAnsi="Arial" w:cs="Arial"/>
          <w:sz w:val="20"/>
          <w:szCs w:val="20"/>
          <w:lang w:val="es-MX"/>
        </w:rPr>
        <w:t>dopaminérgico provocando dependencias</w:t>
      </w:r>
      <w:r w:rsidRPr="004B6EC4">
        <w:rPr>
          <w:rFonts w:ascii="Arial" w:hAnsi="Arial" w:cs="Arial"/>
          <w:sz w:val="20"/>
          <w:szCs w:val="20"/>
          <w:lang w:val="es-MX"/>
        </w:rPr>
        <w:t>.</w:t>
      </w:r>
      <w:r w:rsidRPr="004B6EC4">
        <w:rPr>
          <w:rFonts w:ascii="Arial" w:hAnsi="Arial" w:cs="Arial"/>
          <w:sz w:val="20"/>
          <w:szCs w:val="20"/>
          <w:lang w:val="es-MX"/>
        </w:rPr>
        <w:fldChar w:fldCharType="begin"/>
      </w:r>
      <w:r w:rsidR="007130C3" w:rsidRPr="004B6EC4">
        <w:rPr>
          <w:rFonts w:ascii="Arial" w:hAnsi="Arial" w:cs="Arial"/>
          <w:sz w:val="20"/>
          <w:szCs w:val="20"/>
          <w:lang w:val="es-MX"/>
        </w:rPr>
        <w:instrText xml:space="preserve"> ADDIN ZOTERO_ITEM CSL_CITATION {"citationID":"21rOg5OY","properties":{"unsorted":false,"formattedCitation":"[4]","plainCitation":"[4]","noteIndex":0},"citationItems":[{"id":234,"uris":["http://zotero.org/users/local/YIAzD8Xc/items/EMKZYCJX"],"itemData":{"id":234,"type":"webpage","abstract":"Observatorio Mexicano de Salud mental y Adicciones","container-title":"gob.mx","language":"es","title":"Informe sobre la Situación de la salud mental y el consumo de sustancias en México","URL":"http://www.gob.mx/conasama/documentos/informe-sobre-la-situacion-de-la-salud-mental-y-el-consumo-de-sustancias-en-mexico","author":[{"family":"CONASAMA","given":""}],"accessed":{"date-parts":[["2026",4,7]]}}}],"schema":"https://github.com/citation-style-language/schema/raw/master/csl-citation.json"} </w:instrText>
      </w:r>
      <w:r w:rsidRPr="004B6EC4">
        <w:rPr>
          <w:rFonts w:ascii="Arial" w:hAnsi="Arial" w:cs="Arial"/>
          <w:sz w:val="20"/>
          <w:szCs w:val="20"/>
          <w:lang w:val="es-MX"/>
        </w:rPr>
        <w:fldChar w:fldCharType="separate"/>
      </w:r>
      <w:r w:rsidR="007130C3" w:rsidRPr="004B6EC4">
        <w:rPr>
          <w:rFonts w:ascii="Calibri" w:hAnsi="Calibri" w:cs="Calibri"/>
          <w:sz w:val="20"/>
          <w:szCs w:val="20"/>
          <w:lang w:val="es-MX"/>
        </w:rPr>
        <w:t>[4]</w:t>
      </w:r>
      <w:r w:rsidRPr="004B6EC4">
        <w:rPr>
          <w:rFonts w:ascii="Arial" w:hAnsi="Arial" w:cs="Arial"/>
          <w:sz w:val="20"/>
          <w:szCs w:val="20"/>
          <w:lang w:val="es-MX"/>
        </w:rPr>
        <w:fldChar w:fldCharType="end"/>
      </w:r>
      <w:r w:rsidRPr="004B6EC4">
        <w:rPr>
          <w:rFonts w:ascii="Arial" w:hAnsi="Arial" w:cs="Arial"/>
          <w:sz w:val="20"/>
          <w:szCs w:val="20"/>
          <w:lang w:val="es-MX"/>
        </w:rPr>
        <w:t xml:space="preserve"> </w:t>
      </w:r>
    </w:p>
    <w:p w14:paraId="40830CBD" w14:textId="59C05A6A" w:rsidR="007B20E0" w:rsidRDefault="007B20E0" w:rsidP="00993AF7">
      <w:pPr>
        <w:rPr>
          <w:rFonts w:ascii="Arial" w:hAnsi="Arial" w:cs="Arial"/>
          <w:sz w:val="20"/>
          <w:szCs w:val="20"/>
          <w:lang w:val="es-MX"/>
        </w:rPr>
      </w:pPr>
      <w:r w:rsidRPr="004B6EC4">
        <w:rPr>
          <w:rFonts w:ascii="Arial" w:hAnsi="Arial" w:cs="Arial"/>
          <w:sz w:val="20"/>
          <w:szCs w:val="20"/>
          <w:lang w:val="es-MX"/>
        </w:rPr>
        <w:lastRenderedPageBreak/>
        <w:t xml:space="preserve">Existen diversos estudios y programas institucionales de salud mental que se enfocan en la atención de la depresión y ansiedad, sin </w:t>
      </w:r>
      <w:proofErr w:type="gramStart"/>
      <w:r w:rsidRPr="004B6EC4">
        <w:rPr>
          <w:rFonts w:ascii="Arial" w:hAnsi="Arial" w:cs="Arial"/>
          <w:sz w:val="20"/>
          <w:szCs w:val="20"/>
          <w:lang w:val="es-MX"/>
        </w:rPr>
        <w:t>embargo</w:t>
      </w:r>
      <w:proofErr w:type="gramEnd"/>
      <w:r w:rsidRPr="004B6EC4">
        <w:rPr>
          <w:rFonts w:ascii="Arial" w:hAnsi="Arial" w:cs="Arial"/>
          <w:sz w:val="20"/>
          <w:szCs w:val="20"/>
          <w:lang w:val="es-MX"/>
        </w:rPr>
        <w:t xml:space="preserve"> el sistema no siempre logra atender ansiedad y depresión de forma continua, cercana y culturalmente sensible, y esa falla abre espacio para medicina alternativa </w:t>
      </w:r>
    </w:p>
    <w:p w14:paraId="4C8CB50D" w14:textId="3242C4F8" w:rsidR="00406E87" w:rsidRPr="004B6EC4" w:rsidRDefault="00406E87" w:rsidP="00406E87">
      <w:pPr>
        <w:rPr>
          <w:rFonts w:ascii="Arial" w:hAnsi="Arial" w:cs="Arial"/>
          <w:sz w:val="20"/>
          <w:szCs w:val="20"/>
        </w:rPr>
      </w:pPr>
      <w:r w:rsidRPr="004B6EC4">
        <w:rPr>
          <w:rFonts w:ascii="Arial" w:hAnsi="Arial" w:cs="Arial"/>
          <w:sz w:val="20"/>
          <w:szCs w:val="20"/>
        </w:rPr>
        <w:t xml:space="preserve">En México el uso y costumbre de la psilocibina es a través del consumo de hongos enteógenos como Psilocybe mexicana o Psilocybe zapotecorum, por mencionar algunos ya que existe una gran diversidad de </w:t>
      </w:r>
      <w:proofErr w:type="gramStart"/>
      <w:r w:rsidRPr="004B6EC4">
        <w:rPr>
          <w:rFonts w:ascii="Arial" w:hAnsi="Arial" w:cs="Arial"/>
          <w:sz w:val="20"/>
          <w:szCs w:val="20"/>
        </w:rPr>
        <w:t>éstos</w:t>
      </w:r>
      <w:proofErr w:type="gramEnd"/>
      <w:r w:rsidRPr="004B6EC4">
        <w:rPr>
          <w:rFonts w:ascii="Arial" w:hAnsi="Arial" w:cs="Arial"/>
          <w:sz w:val="20"/>
          <w:szCs w:val="20"/>
        </w:rPr>
        <w:t xml:space="preserve"> hongos en nuestro país, denominados especies protegidas. </w:t>
      </w:r>
      <w:r w:rsidRPr="004B6EC4">
        <w:rPr>
          <w:rFonts w:ascii="Arial" w:hAnsi="Arial" w:cs="Arial"/>
          <w:sz w:val="20"/>
          <w:szCs w:val="20"/>
        </w:rPr>
        <w:fldChar w:fldCharType="begin"/>
      </w:r>
      <w:r w:rsidR="00BC1F76">
        <w:rPr>
          <w:rFonts w:ascii="Arial" w:hAnsi="Arial" w:cs="Arial"/>
          <w:sz w:val="20"/>
          <w:szCs w:val="20"/>
        </w:rPr>
        <w:instrText xml:space="preserve"> ADDIN ZOTERO_ITEM CSL_CITATION {"citationID":"KLWTlMjm","properties":{"unsorted":false,"formattedCitation":"[10]","plainCitation":"[10]","noteIndex":0},"citationItems":[{"id":111,"uris":["http://zotero.org/users/local/YIAzD8Xc/items/PDRX5SSU"],"itemData":{"id":111,"type":"webpage","abstract":"Esta  Norma  Oficial  Mexicana  tiene  por  objeto  identificar  las  especies  o  poblaciones  de  flora  y  fauna silvestres  en  riesgo  en  la  República Mexicana,  mediante  la  integración  de  las  listas  correspondientes,  así como  establecer  los  criterios  de  inclusión,  exclusión  o  cambio  de  categoría  de  riesgo  para  las  especies  o poblaciones, mediante un método de evaluación de su riesgo de extinción y es de observancia obligatoria en todo  el  Territorio  Nacional,  para  las  personas  físicas  o  morales  que  promuevan  la  inclusión,  exclusión  o cambio de las especies o poblaciones silvestres en alguna de las categorías de riesgo, establecidas por esta Norma.","container-title":"gob.mx","language":"es","title":"NORMA OFICIAL MEXICANA NOM-059-SEMARNAT-2010","URL":"http://www.gob.mx/profepa/documentos/norma-oficial-mexicana-nom-059-semarnat-2010","author":[{"family":"Ambiente","given":"Procuraduria Federal de Proteccion","dropping-particle":"al"}],"accessed":{"date-parts":[["2026",4,3]]}}}],"schema":"https://github.com/citation-style-language/schema/raw/master/csl-citation.json"} </w:instrText>
      </w:r>
      <w:r w:rsidRPr="004B6EC4">
        <w:rPr>
          <w:rFonts w:ascii="Arial" w:hAnsi="Arial" w:cs="Arial"/>
          <w:sz w:val="20"/>
          <w:szCs w:val="20"/>
        </w:rPr>
        <w:fldChar w:fldCharType="separate"/>
      </w:r>
      <w:r w:rsidR="00BC1F76" w:rsidRPr="00BC1F76">
        <w:rPr>
          <w:rFonts w:ascii="Calibri" w:hAnsi="Calibri" w:cs="Calibri"/>
          <w:sz w:val="20"/>
        </w:rPr>
        <w:t>[10]</w:t>
      </w:r>
      <w:r w:rsidRPr="004B6EC4">
        <w:rPr>
          <w:rFonts w:ascii="Arial" w:hAnsi="Arial" w:cs="Arial"/>
          <w:sz w:val="20"/>
          <w:szCs w:val="20"/>
        </w:rPr>
        <w:fldChar w:fldCharType="end"/>
      </w:r>
      <w:r w:rsidRPr="004B6EC4">
        <w:rPr>
          <w:rFonts w:ascii="Arial" w:hAnsi="Arial" w:cs="Arial"/>
          <w:sz w:val="20"/>
          <w:szCs w:val="20"/>
        </w:rPr>
        <w:t xml:space="preserve"> </w:t>
      </w:r>
      <w:r w:rsidRPr="004B6EC4">
        <w:rPr>
          <w:rFonts w:ascii="Arial" w:hAnsi="Arial" w:cs="Arial"/>
          <w:sz w:val="20"/>
          <w:szCs w:val="20"/>
          <w:highlight w:val="yellow"/>
        </w:rPr>
        <w:t>Los hongos que contienen psilocibina eran empleados por diversas culturas indígenas de México, especialmente en regiones como la Sierra Mazateca, Oaxaca.</w:t>
      </w:r>
      <w:r w:rsidRPr="004B6EC4">
        <w:rPr>
          <w:rFonts w:ascii="Arial" w:hAnsi="Arial" w:cs="Arial"/>
          <w:sz w:val="20"/>
          <w:szCs w:val="20"/>
        </w:rPr>
        <w:t xml:space="preserve"> citar</w:t>
      </w:r>
    </w:p>
    <w:p w14:paraId="4D794881" w14:textId="77777777" w:rsidR="00406E87" w:rsidRPr="004B6EC4" w:rsidRDefault="00406E87" w:rsidP="007B20E0">
      <w:pPr>
        <w:rPr>
          <w:rFonts w:ascii="Arial" w:hAnsi="Arial" w:cs="Arial"/>
          <w:b/>
          <w:bCs/>
          <w:sz w:val="20"/>
          <w:szCs w:val="20"/>
          <w:lang w:val="es-MX"/>
        </w:rPr>
      </w:pPr>
    </w:p>
    <w:p w14:paraId="2E0558AB" w14:textId="53F9896C" w:rsidR="00C53585" w:rsidRPr="004B6EC4" w:rsidRDefault="003A54E0" w:rsidP="00FA66AC">
      <w:pPr>
        <w:rPr>
          <w:sz w:val="20"/>
          <w:szCs w:val="20"/>
        </w:rPr>
      </w:pPr>
      <w:r w:rsidRPr="003A54E0">
        <w:rPr>
          <w:sz w:val="20"/>
          <w:szCs w:val="20"/>
          <w:highlight w:val="yellow"/>
        </w:rPr>
        <w:t>concepto</w:t>
      </w:r>
    </w:p>
    <w:p w14:paraId="2F8D2822" w14:textId="77777777" w:rsidR="00120F47" w:rsidRPr="004B6EC4" w:rsidRDefault="00120F47" w:rsidP="00120F47">
      <w:pPr>
        <w:rPr>
          <w:rFonts w:ascii="Arial" w:hAnsi="Arial" w:cs="Arial"/>
          <w:b/>
          <w:bCs/>
          <w:sz w:val="20"/>
          <w:szCs w:val="20"/>
        </w:rPr>
      </w:pPr>
      <w:r w:rsidRPr="004B6EC4">
        <w:rPr>
          <w:rFonts w:ascii="Arial" w:hAnsi="Arial" w:cs="Arial"/>
          <w:b/>
          <w:bCs/>
          <w:sz w:val="20"/>
          <w:szCs w:val="20"/>
        </w:rPr>
        <w:t>Planteamiento del problema</w:t>
      </w:r>
    </w:p>
    <w:p w14:paraId="55497C23" w14:textId="6631158E" w:rsidR="00120F47" w:rsidRPr="004B6EC4" w:rsidRDefault="00120F47" w:rsidP="00120F47">
      <w:pPr>
        <w:rPr>
          <w:rFonts w:ascii="Arial" w:hAnsi="Arial" w:cs="Arial"/>
          <w:sz w:val="20"/>
          <w:szCs w:val="20"/>
        </w:rPr>
      </w:pPr>
      <w:r w:rsidRPr="004B6EC4">
        <w:rPr>
          <w:rFonts w:ascii="Arial" w:hAnsi="Arial" w:cs="Arial"/>
          <w:sz w:val="20"/>
          <w:szCs w:val="20"/>
        </w:rPr>
        <w:t>La búsqueda  de la felicidad inmediata a través del uso de psicofármacos que pueden generar efectos adversos entre ellos la supresión de autocontrol alimenticio, disminución de la líbido, genración de tolerancia dependencia,</w:t>
      </w:r>
      <w:r w:rsidR="00DB69F7" w:rsidRPr="004B6EC4">
        <w:rPr>
          <w:rFonts w:ascii="Arial" w:hAnsi="Arial" w:cs="Arial"/>
          <w:sz w:val="20"/>
          <w:szCs w:val="20"/>
        </w:rPr>
        <w:fldChar w:fldCharType="begin"/>
      </w:r>
      <w:r w:rsidR="00BC1F76">
        <w:rPr>
          <w:rFonts w:ascii="Arial" w:hAnsi="Arial" w:cs="Arial"/>
          <w:sz w:val="20"/>
          <w:szCs w:val="20"/>
        </w:rPr>
        <w:instrText xml:space="preserve"> ADDIN ZOTERO_ITEM CSL_CITATION {"citationID":"Pe32kHOU","properties":{"unsorted":false,"formattedCitation":"[11]","plainCitation":"[11]","noteIndex":0},"citationItems":[{"id":147,"uris":["http://zotero.org/users/local/YIAzD8Xc/items/YUDJG98Y"],"itemData":{"id":147,"type":"article-journal","language":"en","source":"Zotero","title":"SSRI Antidepressant Medications: Adverse Effects and Tolerability","author":[{"family":"Ferguson","given":"James M"}],"issued":{"date-parts":[["2001"]]}}}],"schema":"https://github.com/citation-style-language/schema/raw/master/csl-citation.json"} </w:instrText>
      </w:r>
      <w:r w:rsidR="00DB69F7" w:rsidRPr="004B6EC4">
        <w:rPr>
          <w:rFonts w:ascii="Arial" w:hAnsi="Arial" w:cs="Arial"/>
          <w:sz w:val="20"/>
          <w:szCs w:val="20"/>
        </w:rPr>
        <w:fldChar w:fldCharType="separate"/>
      </w:r>
      <w:r w:rsidR="00BC1F76" w:rsidRPr="00BC1F76">
        <w:rPr>
          <w:rFonts w:ascii="Calibri" w:hAnsi="Calibri" w:cs="Calibri"/>
          <w:sz w:val="20"/>
        </w:rPr>
        <w:t>[11]</w:t>
      </w:r>
      <w:r w:rsidR="00DB69F7" w:rsidRPr="004B6EC4">
        <w:rPr>
          <w:rFonts w:ascii="Arial" w:hAnsi="Arial" w:cs="Arial"/>
          <w:sz w:val="20"/>
          <w:szCs w:val="20"/>
        </w:rPr>
        <w:fldChar w:fldCharType="end"/>
      </w:r>
      <w:r w:rsidRPr="004B6EC4">
        <w:rPr>
          <w:rFonts w:ascii="Arial" w:hAnsi="Arial" w:cs="Arial"/>
          <w:sz w:val="20"/>
          <w:szCs w:val="20"/>
        </w:rPr>
        <w:t xml:space="preserve"> Las limitaciones del sistema de salud, tales como la escasez de especialistas, los largos tiempos de espera, la fragmentación de la atención y la falta de seguimiento continuo, contribuyen a que muchas personas con depresión y ansiedad abandonen el tratamiento psiquiátrico formal</w:t>
      </w:r>
      <w:r w:rsidR="007D44AE" w:rsidRPr="004B6EC4">
        <w:rPr>
          <w:rFonts w:ascii="Arial" w:hAnsi="Arial" w:cs="Arial"/>
          <w:sz w:val="20"/>
          <w:szCs w:val="20"/>
        </w:rPr>
        <w:t xml:space="preserve"> </w:t>
      </w:r>
      <w:r w:rsidR="007D44AE" w:rsidRPr="004B6EC4">
        <w:rPr>
          <w:rFonts w:ascii="Arial" w:hAnsi="Arial" w:cs="Arial"/>
          <w:sz w:val="20"/>
          <w:szCs w:val="20"/>
        </w:rPr>
        <w:fldChar w:fldCharType="begin"/>
      </w:r>
      <w:r w:rsidR="00BC1F76">
        <w:rPr>
          <w:rFonts w:ascii="Arial" w:hAnsi="Arial" w:cs="Arial"/>
          <w:sz w:val="20"/>
          <w:szCs w:val="20"/>
        </w:rPr>
        <w:instrText xml:space="preserve"> ADDIN ZOTERO_ITEM CSL_CITATION {"citationID":"BIYyfOUs","properties":{"unsorted":false,"formattedCitation":"[5]","plainCitation":"[5]","noteIndex":0},"citationItems":[{"id":226,"uris":["http://zotero.org/users/local/YIAzD8Xc/items/AMFT6TI3"],"itemData":{"id":226,"type":"article-journal","abstract":"Durante la consulta médica brindada en el Centro de Atención Social San Martín Cuautlalpan se ha encontrado un alto índice de trastornos mentales, los más prevalentes son el trastorno de ansiedad generalizada y trastorno depresivo mayor. Descubriendo un alto índice de recaídas posterior al inicio del tratamiento que conllevan a disfunción ante la familia, así como ante la sociedad. Se realizó un estudio transversal, observacional, intervencionista, durante el periodo de septiembre del 2020 a Julio del 2021 en la localidad de San Martin Cuautlalpan del municipio de Chalco de Covarrubias en el Estado de México. Durante la consulta se logró diagnosticar e incluir al estudio a 120 pacientes a quienes se les dio seguimiento con 4 consultas de base a intervalos ya establecidos, y se les realizaron llamadas telefónicas para indagar motivos de inasistencia dado el caso. El apego al tratamiento se estadificó en tres categorías: a) Ninguno: sin ninguna toma del medicamento; b) Poco: toma del medicamento de forma irregular durante el último mes; y c) Bueno: toma adecuada y de forma regular del medicamento durante el último mes. Para el análisis de los datos se comparó a los sujetos que abandonan el tratamiento farmacológico y continuaron en las consultas médicas establecidas entre aquellos que no continuaron con las consultas médicas establecidas, realizando una serie de análisis bivariados. Se utilizó la prueba de X2 para explorar la asociación entre las variables categóricas nominales y el abandono del tratamiento Observamos que la asistencia a las consultas programadas no influye en el abandono al tratamiento farmacológico. Sin embargo, en aquellos pacientes que no completaron las consultas programadas se encontró un alto desconocimiento de la enfermedad; así mismo, en aquellos pacientes que sí lograron asistir a las consultas establecidas el factor que más influyó fue el socioeconómico Se encontró que los motivos del abandono al tratamiento farmacológico difieren entre los pacientes de ambos trastornos, siendo más prevalente en los pacientes con trastorno depresivo mayor el factor socioeconómico, y para los pacientes con trastorno de ansiedad generalizada fue la falta de conciencia de la enfermedad.","language":"spa","license":"info:eu-repo/semantics/openAccess","note":"Accepted: 2022-05-09T15:34:19Z","publisher":"Universidad Autónoma Metropolitana. Unidad Xochimilco","source":"repositorio.xoc.uam.mx","title":"Factores que inciden en el abandono del tratamiento farmacológico de los trastornos de ansiedad generalizada y trastornos depresivos mayores en los habitantes de la localidad de San Martín Cuautlalpan en el municipio de Chalco de Díaz Covarrubias, Estado de México","URL":"https://repositorio.xoc.uam.mx/jspui/handle/123456789/26444","author":[{"family":"Solís Aranda","given":"María Teresa"}],"accessed":{"date-parts":[["2026",4,7]]},"issued":{"date-parts":[["2022"]]}}}],"schema":"https://github.com/citation-style-language/schema/raw/master/csl-citation.json"} </w:instrText>
      </w:r>
      <w:r w:rsidR="007D44AE" w:rsidRPr="004B6EC4">
        <w:rPr>
          <w:rFonts w:ascii="Arial" w:hAnsi="Arial" w:cs="Arial"/>
          <w:sz w:val="20"/>
          <w:szCs w:val="20"/>
        </w:rPr>
        <w:fldChar w:fldCharType="separate"/>
      </w:r>
      <w:r w:rsidR="00BC1F76" w:rsidRPr="00BC1F76">
        <w:rPr>
          <w:rFonts w:ascii="Calibri" w:hAnsi="Calibri" w:cs="Calibri"/>
          <w:sz w:val="20"/>
        </w:rPr>
        <w:t>[5]</w:t>
      </w:r>
      <w:r w:rsidR="007D44AE" w:rsidRPr="004B6EC4">
        <w:rPr>
          <w:rFonts w:ascii="Arial" w:hAnsi="Arial" w:cs="Arial"/>
          <w:sz w:val="20"/>
          <w:szCs w:val="20"/>
        </w:rPr>
        <w:fldChar w:fldCharType="end"/>
      </w:r>
      <w:r w:rsidRPr="004B6EC4">
        <w:rPr>
          <w:rFonts w:ascii="Arial" w:hAnsi="Arial" w:cs="Arial"/>
          <w:sz w:val="20"/>
          <w:szCs w:val="20"/>
        </w:rPr>
        <w:t xml:space="preserve"> y recurran a intervenciones de carácter subjetivo, como terapias no reguladas.</w:t>
      </w:r>
      <w:r w:rsidR="007D44AE" w:rsidRPr="004B6EC4">
        <w:rPr>
          <w:rFonts w:ascii="Arial" w:hAnsi="Arial" w:cs="Arial"/>
          <w:sz w:val="20"/>
          <w:szCs w:val="20"/>
        </w:rPr>
        <w:t xml:space="preserve"> </w:t>
      </w:r>
    </w:p>
    <w:p w14:paraId="5C1A8C82" w14:textId="369727A3" w:rsidR="00BD0C94" w:rsidRPr="004B6EC4" w:rsidRDefault="00120F47" w:rsidP="00BD0C94">
      <w:pPr>
        <w:rPr>
          <w:rFonts w:ascii="Arial" w:hAnsi="Arial" w:cs="Arial"/>
          <w:sz w:val="20"/>
          <w:szCs w:val="20"/>
        </w:rPr>
      </w:pPr>
      <w:r w:rsidRPr="004B6EC4">
        <w:rPr>
          <w:rFonts w:ascii="Arial" w:hAnsi="Arial" w:cs="Arial"/>
          <w:sz w:val="20"/>
          <w:szCs w:val="20"/>
        </w:rPr>
        <w:t>Esta combinación de abandono terapéutico, mala respuesta al tratamiento y efectos adversos origina un círculo vicioso que deteriora la funcionalidad personal, laboral, social y familiar, aumentando la discapacidad asociada a estos trastornos.</w:t>
      </w:r>
      <w:r w:rsidR="001453C0" w:rsidRPr="004B6EC4">
        <w:rPr>
          <w:rFonts w:ascii="Arial" w:hAnsi="Arial" w:cs="Arial"/>
          <w:sz w:val="20"/>
          <w:szCs w:val="20"/>
        </w:rPr>
        <w:t xml:space="preserve"> Es por eso que este tema toma relevancia en la época </w:t>
      </w:r>
      <w:r w:rsidR="00E756D8" w:rsidRPr="004B6EC4">
        <w:rPr>
          <w:rFonts w:ascii="Arial" w:hAnsi="Arial" w:cs="Arial"/>
          <w:sz w:val="20"/>
          <w:szCs w:val="20"/>
        </w:rPr>
        <w:t>actúa</w:t>
      </w:r>
      <w:r w:rsidR="001453C0" w:rsidRPr="004B6EC4">
        <w:rPr>
          <w:rFonts w:ascii="Arial" w:hAnsi="Arial" w:cs="Arial"/>
          <w:sz w:val="20"/>
          <w:szCs w:val="20"/>
        </w:rPr>
        <w:t>l</w:t>
      </w:r>
      <w:r w:rsidR="00E756D8" w:rsidRPr="004B6EC4">
        <w:rPr>
          <w:rFonts w:ascii="Arial" w:hAnsi="Arial" w:cs="Arial"/>
          <w:sz w:val="20"/>
          <w:szCs w:val="20"/>
        </w:rPr>
        <w:t xml:space="preserve"> ya que</w:t>
      </w:r>
      <w:r w:rsidR="001453C0" w:rsidRPr="004B6EC4">
        <w:rPr>
          <w:rFonts w:ascii="Arial" w:hAnsi="Arial" w:cs="Arial"/>
          <w:sz w:val="20"/>
          <w:szCs w:val="20"/>
        </w:rPr>
        <w:t>,</w:t>
      </w:r>
      <w:r w:rsidR="009C1AFC" w:rsidRPr="004B6EC4">
        <w:rPr>
          <w:rFonts w:ascii="Arial" w:hAnsi="Arial" w:cs="Arial"/>
          <w:sz w:val="20"/>
          <w:szCs w:val="20"/>
        </w:rPr>
        <w:t xml:space="preserve"> </w:t>
      </w:r>
      <w:r w:rsidRPr="004B6EC4">
        <w:rPr>
          <w:rFonts w:ascii="Arial" w:hAnsi="Arial" w:cs="Arial"/>
          <w:sz w:val="20"/>
          <w:szCs w:val="20"/>
        </w:rPr>
        <w:t>el uso de la psilocibina como tratamiento para la depresión y la ansiedad ha sido respaldado por diversos artículos científicos que muestran una reducción significativa de los síntomas en ensayos clínicos controlados, lo que ha impulsado su consideración como una alternativa terapéutica experimental y ha justificado la necesidad de profundizar en su evaluación, indicaciones, seguridad y posición dentro del arsenal terapéutico disponible.</w:t>
      </w:r>
      <w:r w:rsidR="00950E54" w:rsidRPr="004B6EC4">
        <w:rPr>
          <w:rFonts w:ascii="Arial" w:hAnsi="Arial" w:cs="Arial"/>
          <w:sz w:val="20"/>
          <w:szCs w:val="20"/>
        </w:rPr>
        <w:t xml:space="preserve"> </w:t>
      </w:r>
      <w:proofErr w:type="gramStart"/>
      <w:r w:rsidR="00B74551" w:rsidRPr="004B6EC4">
        <w:rPr>
          <w:rFonts w:ascii="Arial" w:hAnsi="Arial" w:cs="Arial"/>
          <w:sz w:val="20"/>
          <w:szCs w:val="20"/>
        </w:rPr>
        <w:t>pero,</w:t>
      </w:r>
      <w:proofErr w:type="gramEnd"/>
      <w:r w:rsidR="00B74551" w:rsidRPr="004B6EC4">
        <w:rPr>
          <w:rFonts w:ascii="Arial" w:hAnsi="Arial" w:cs="Arial"/>
          <w:sz w:val="20"/>
          <w:szCs w:val="20"/>
        </w:rPr>
        <w:t xml:space="preserve"> </w:t>
      </w:r>
      <w:r w:rsidR="00033F87" w:rsidRPr="004B6EC4">
        <w:rPr>
          <w:rFonts w:ascii="Arial" w:hAnsi="Arial" w:cs="Arial"/>
          <w:sz w:val="20"/>
          <w:szCs w:val="20"/>
        </w:rPr>
        <w:t>¿En pacientes con depresión y ansiedad, el tratamiento con psilocibina</w:t>
      </w:r>
      <w:r w:rsidR="00033F87" w:rsidRPr="004B6EC4">
        <w:rPr>
          <w:rFonts w:ascii="Arial" w:hAnsi="Arial" w:cs="Arial"/>
          <w:sz w:val="20"/>
          <w:szCs w:val="20"/>
          <w:highlight w:val="yellow"/>
        </w:rPr>
        <w:t>, comparado con los enfoques disponibles en México y otros países</w:t>
      </w:r>
      <w:r w:rsidR="00033F87" w:rsidRPr="004B6EC4">
        <w:rPr>
          <w:rFonts w:ascii="Arial" w:hAnsi="Arial" w:cs="Arial"/>
          <w:sz w:val="20"/>
          <w:szCs w:val="20"/>
        </w:rPr>
        <w:t>, ofrece mejores resultados clínicos como alternativa terapéutica?</w:t>
      </w:r>
      <w:r w:rsidR="003C423F" w:rsidRPr="004B6EC4">
        <w:rPr>
          <w:rFonts w:ascii="Arial" w:hAnsi="Arial" w:cs="Arial"/>
          <w:sz w:val="20"/>
          <w:szCs w:val="20"/>
        </w:rPr>
        <w:t xml:space="preserve"> </w:t>
      </w:r>
      <w:r w:rsidR="00BB2077" w:rsidRPr="004B6EC4">
        <w:rPr>
          <w:rFonts w:ascii="Arial" w:hAnsi="Arial" w:cs="Arial"/>
          <w:sz w:val="20"/>
          <w:szCs w:val="20"/>
        </w:rPr>
        <w:t xml:space="preserve"> En esta publicación se busca </w:t>
      </w:r>
      <w:r w:rsidR="00BD0C94" w:rsidRPr="004B6EC4">
        <w:rPr>
          <w:rFonts w:ascii="Arial" w:hAnsi="Arial" w:cs="Arial"/>
          <w:sz w:val="20"/>
          <w:szCs w:val="20"/>
        </w:rPr>
        <w:t>evaluar la eficacia, seguridad y viabilidad de la psilocibina como alternativa terapéutica para trastornos de depresión y ansiedad, mediante una revisión sistemática de las investigaciones mas actuales, para lograr su integración como alternativa en la medicina.</w:t>
      </w:r>
    </w:p>
    <w:p w14:paraId="018D2F45" w14:textId="77777777" w:rsidR="00BD0C94" w:rsidRDefault="00BD0C94" w:rsidP="00BD0C94">
      <w:pPr>
        <w:rPr>
          <w:rFonts w:ascii="Arial" w:hAnsi="Arial" w:cs="Arial"/>
          <w:b/>
          <w:bCs/>
          <w:sz w:val="20"/>
          <w:szCs w:val="20"/>
        </w:rPr>
      </w:pPr>
      <w:r w:rsidRPr="004B6EC4">
        <w:rPr>
          <w:rFonts w:ascii="Arial" w:hAnsi="Arial" w:cs="Arial"/>
          <w:b/>
          <w:bCs/>
          <w:sz w:val="20"/>
          <w:szCs w:val="20"/>
        </w:rPr>
        <w:t>ESTA INVESTIGACION TOMA EN CUENTA QUE LA PSILOCIBINA SIGUE SIENDO ESTUDIADA PARA EL USO TERAPEUTICO POR LO QUE NO SE DA POR HECHO QUE SEA UNA ALERNATIVA SUPERIOR A LAS VIAS TERAPEUTICAS ACTUALES  </w:t>
      </w:r>
    </w:p>
    <w:p w14:paraId="678D6858" w14:textId="77777777" w:rsidR="00163773" w:rsidRPr="00297EB1" w:rsidRDefault="00163773" w:rsidP="00163773">
      <w:pPr>
        <w:rPr>
          <w:lang w:val="es-MX"/>
        </w:rPr>
      </w:pPr>
      <w:r>
        <w:rPr>
          <w:lang w:val="es-MX"/>
        </w:rPr>
        <w:t xml:space="preserve">SE BUSCA UNA INICIATIVA DE LEY EN DONDE SE INCLUYA LA PSILOCIBINA EN PSICOTERAPIA POR FALTA DE INFORMACIÓN, E INVESTIGACION DE SU USO A CORTO Y LALRGO PLAZO EN NUESTRO </w:t>
      </w:r>
      <w:proofErr w:type="gramStart"/>
      <w:r>
        <w:rPr>
          <w:lang w:val="es-MX"/>
        </w:rPr>
        <w:t>PAIS  A</w:t>
      </w:r>
      <w:proofErr w:type="gramEnd"/>
      <w:r>
        <w:rPr>
          <w:lang w:val="es-MX"/>
        </w:rPr>
        <w:t xml:space="preserve"> PESAR DE LA EVIDENCIA POSITIVA A NIVEL MUNDIA</w:t>
      </w:r>
    </w:p>
    <w:p w14:paraId="3CECE802" w14:textId="77777777" w:rsidR="00163773" w:rsidRPr="00163773" w:rsidRDefault="00163773" w:rsidP="00BD0C94">
      <w:pPr>
        <w:rPr>
          <w:rFonts w:ascii="Arial" w:hAnsi="Arial" w:cs="Arial"/>
          <w:b/>
          <w:bCs/>
          <w:sz w:val="20"/>
          <w:szCs w:val="20"/>
          <w:lang w:val="es-MX"/>
        </w:rPr>
      </w:pPr>
    </w:p>
    <w:p w14:paraId="1B49B71E" w14:textId="77777777" w:rsidR="000F077A" w:rsidRPr="004B6EC4" w:rsidRDefault="000F077A" w:rsidP="00034DA0">
      <w:pPr>
        <w:rPr>
          <w:rFonts w:ascii="Arial" w:hAnsi="Arial" w:cs="Arial"/>
          <w:b/>
          <w:bCs/>
          <w:sz w:val="20"/>
          <w:szCs w:val="20"/>
        </w:rPr>
      </w:pPr>
    </w:p>
    <w:p w14:paraId="2DD29DC2" w14:textId="77777777" w:rsidR="000F077A" w:rsidRPr="004B6EC4" w:rsidRDefault="000F077A" w:rsidP="000F077A">
      <w:pPr>
        <w:rPr>
          <w:rFonts w:ascii="Arial" w:hAnsi="Arial" w:cs="Arial"/>
          <w:b/>
          <w:bCs/>
          <w:sz w:val="20"/>
          <w:szCs w:val="20"/>
        </w:rPr>
      </w:pPr>
      <w:r w:rsidRPr="004B6EC4">
        <w:rPr>
          <w:rFonts w:ascii="Arial" w:hAnsi="Arial" w:cs="Arial"/>
          <w:b/>
          <w:bCs/>
          <w:sz w:val="20"/>
          <w:szCs w:val="20"/>
        </w:rPr>
        <w:t>La prohibición de la psilocibina</w:t>
      </w:r>
    </w:p>
    <w:p w14:paraId="03FAD999" w14:textId="6AE44E27" w:rsidR="000F077A" w:rsidRPr="004B6EC4" w:rsidRDefault="000F077A" w:rsidP="000F077A">
      <w:pPr>
        <w:rPr>
          <w:rFonts w:ascii="Arial" w:hAnsi="Arial" w:cs="Arial"/>
          <w:sz w:val="20"/>
          <w:szCs w:val="20"/>
        </w:rPr>
      </w:pPr>
      <w:r w:rsidRPr="004B6EC4">
        <w:rPr>
          <w:rFonts w:ascii="Arial" w:hAnsi="Arial" w:cs="Arial"/>
          <w:sz w:val="20"/>
          <w:szCs w:val="20"/>
        </w:rPr>
        <w:t xml:space="preserve">La percepción de los frailes españoles asociaba el uso de los hongos con entidades diabólicas, pero el uso ceremonial persistió de manera discreta en comunidades indígenas. Fue hasta mediados del siglo XX que la psilocibina despertó la curiosidad científica y cultural a nivel internacional.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{"citationID":"HLAx3FSA","properties":{"unsorted":false,"formattedCitation":"[13, 14]","plainCitation":"[13, 14]","noteIndex":0},"citationItems":[{"id":121,"uris":["http://zotero.org/users/local/YIAzD8Xc/items/9RW2M3HL"],"itemData":{"id":121,"type":"article-journal","container-title":"Botanical Museum Leaflets, Harvard University","ISSN":"0006-8098","issue":"5","page":"177-197","publisher":"Harvard University Herbaria","source":"JSTOR","title":"De Plantis Toxicariis e Mundo Novo Tropicale Commentationes XXIII: NOTES ON BIODYNAMIC PLANTS OF ABORIGINAL USE IN THE NORTHWESTERN AMAZONIA","title-short":"De Plantis Toxicariis e Mundo Novo Tropicale Commentationes XXIII","volume":"26","author":[{"family":"Schultes","given":"Richard Evans"}],"issued":{"date-parts":[["1978"]]}}},{"id":115,"uris":["http://zotero.org/users/local/YIAzD8Xc/items/BKGG2J26","http://zotero.org/users/local/YIAzD8Xc/items/VEELBQBJ"],"itemData":{"id":115,"type":"article-journal","language":"en","source":"Zotero","title":"AT ALL NASH DEALERS • AT ALL HUDSON DEALERS","author":[{"family":"MOrO","given":"AMfUfCAN"}]}}],"schema":"https://github.com/citation-style-language/schema/raw/master/csl-citation.json"}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[13, 14]</w:t>
      </w:r>
      <w:r w:rsidRPr="004B6EC4">
        <w:rPr>
          <w:rFonts w:ascii="Arial" w:hAnsi="Arial" w:cs="Arial"/>
          <w:sz w:val="20"/>
          <w:szCs w:val="20"/>
        </w:rPr>
        <w:fldChar w:fldCharType="end"/>
      </w:r>
      <w:r w:rsidRPr="004B6EC4">
        <w:rPr>
          <w:rFonts w:ascii="Arial" w:hAnsi="Arial" w:cs="Arial"/>
          <w:sz w:val="20"/>
          <w:szCs w:val="20"/>
        </w:rPr>
        <w:t xml:space="preserve"> En 1955, R. Gordon Wasson viajó a México y participó en una ceremonia mazateca en de Huautla de Jiménez. El </w:t>
      </w:r>
      <w:r w:rsidRPr="004B6EC4">
        <w:rPr>
          <w:rFonts w:ascii="Arial" w:hAnsi="Arial" w:cs="Arial"/>
          <w:sz w:val="20"/>
          <w:szCs w:val="20"/>
        </w:rPr>
        <w:lastRenderedPageBreak/>
        <w:t xml:space="preserve">relato de Wasson y las fotografías publicadas en la revista Life en 1957 llevaron a la psilocibina al inicio de investigaciones químicas, biológicas y psiquiátricas sobre sus efectos y potencial terapéutico.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rZxIzleu","properties":{"unsorted":false,"formattedCitation":"[14]","plainCitation":"[14]","noteIndex":0},"citationItems":[{"id":115,"uris":["http://zotero.org/users/local/YIAzD8Xc/items/BKGG2J26","http://zotero.org/users/local/YIAzD8Xc/items/VEELBQBJ"],"itemData":{"id":115,"type":"article-journal","language":"en","source":"Zotero","title":"AT ALL NASH DEALERS • AT ALL HUDSON DEALERS","author":[{"family":"MOrO","given":"AMfUfCAN"}]}}],"schema":"https://github.com/citation-style-language/schema/raw/master/csl-citation.json"}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[14]</w:t>
      </w:r>
      <w:r w:rsidRPr="004B6EC4">
        <w:rPr>
          <w:rFonts w:ascii="Arial" w:hAnsi="Arial" w:cs="Arial"/>
          <w:sz w:val="20"/>
          <w:szCs w:val="20"/>
        </w:rPr>
        <w:fldChar w:fldCharType="end"/>
      </w:r>
      <w:r w:rsidRPr="004B6EC4">
        <w:rPr>
          <w:rFonts w:ascii="Arial" w:hAnsi="Arial" w:cs="Arial"/>
          <w:sz w:val="20"/>
          <w:szCs w:val="20"/>
        </w:rPr>
        <w:t xml:space="preserve"> Pocos años después, Albert Hofmann logró aislar y sintetizar la psilocibina en 1958, facilitando su disponibilidad en laboratorios y estudios clínicos en distintos países.</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C9cPEQ99","properties":{"unsorted":false,"formattedCitation":"[15]","plainCitation":"[15]","noteIndex":0},"citationItems":[{"id":39,"uris":["http://zotero.org/users/local/YIAzD8Xc/items/JYR63DBC"],"itemData":{"id":39,"type":"article-journal","container-title":"Experientia","DOI":"10.1007/BF02160424","ISSN":"0014-4754, 1420-9071","issue":"11","journalAbbreviation":"Experientia","language":"de","license":"http://www.springer.com/tdm","page":"397-399","source":"DOI.org (Crossref)","title":"Konstitutionsaufklärung und Synthese von Psilocybin","volume":"14","author":[{"family":"Hofmann","given":"A."},{"family":"Frey","given":"A."},{"family":"Ott","given":"H."},{"family":"Petrzilka","given":"Th."},{"family":"Troxler","given":"F."}],"issued":{"date-parts":[["1958",11]]}}}],"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[15]</w:t>
      </w:r>
      <w:r w:rsidRPr="004B6EC4">
        <w:rPr>
          <w:rFonts w:ascii="Arial" w:hAnsi="Arial" w:cs="Arial"/>
          <w:sz w:val="20"/>
          <w:szCs w:val="20"/>
        </w:rPr>
        <w:fldChar w:fldCharType="end"/>
      </w:r>
      <w:r w:rsidRPr="004B6EC4">
        <w:rPr>
          <w:rFonts w:ascii="Arial" w:hAnsi="Arial" w:cs="Arial"/>
          <w:sz w:val="20"/>
          <w:szCs w:val="20"/>
        </w:rPr>
        <w:t xml:space="preserve"> Durante la década de los 60, la psilocibina fue estudiada en instituciones académicas como la Universidad de Harvard, donde investigadores como Timothy Leary y Richard Alpert exploraron sus efectos en la conciencia humana. Los experimentos con psilocibina y otras sustancias psicodélicas se difundieron rápidamente en la cultura juvenil, vinculándose con movimientos contraculturales y el arte.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k8ZYlrUt","properties":{"unsorted":false,"formattedCitation":"[16]","plainCitation":"[16]","noteIndex":0},"citationItems":[{"id":116,"uris":["http://zotero.org/users/local/YIAzD8Xc/items/RYUNNMR7"],"itemData":{"id":116,"type":"article-journal","language":"en","source":"Zotero","title":"The Psychedelic Experience"}}],"schema":"https://github.com/citation-style-language/schema/raw/master/csl-citation.json"}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[16]</w:t>
      </w:r>
      <w:r w:rsidRPr="004B6EC4">
        <w:rPr>
          <w:rFonts w:ascii="Arial" w:hAnsi="Arial" w:cs="Arial"/>
          <w:sz w:val="20"/>
          <w:szCs w:val="20"/>
        </w:rPr>
        <w:fldChar w:fldCharType="end"/>
      </w:r>
      <w:r w:rsidRPr="004B6EC4">
        <w:rPr>
          <w:rFonts w:ascii="Arial" w:hAnsi="Arial" w:cs="Arial"/>
          <w:sz w:val="20"/>
          <w:szCs w:val="20"/>
        </w:rPr>
        <w:t xml:space="preserve"> </w:t>
      </w:r>
    </w:p>
    <w:p w14:paraId="497A65F3" w14:textId="14AFEA29" w:rsidR="000F077A" w:rsidRPr="004B6EC4" w:rsidRDefault="000F077A" w:rsidP="000F077A">
      <w:pPr>
        <w:rPr>
          <w:rFonts w:ascii="Arial" w:hAnsi="Arial" w:cs="Arial"/>
          <w:b/>
          <w:bCs/>
          <w:sz w:val="20"/>
          <w:szCs w:val="20"/>
        </w:rPr>
      </w:pPr>
      <w:r w:rsidRPr="004B6EC4">
        <w:rPr>
          <w:rFonts w:ascii="Arial" w:hAnsi="Arial" w:cs="Arial"/>
          <w:sz w:val="20"/>
          <w:szCs w:val="20"/>
        </w:rPr>
        <w:t xml:space="preserve">En consecuencia, conservadores y autoridades gubernamentales, asociaban el uso de psilocibina con riesgos para la salud pública. El clima político internacional, influido por la “guerra contra las drogas” impulsada por Estados Unidos, llevó a la inclusión de la psilocibina y los hongos alucinógenos en listas de sustancias controladas.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{"citationID":"c1FLLGLx","properties":{"unsorted":false,"formattedCitation":"[17, 18]","plainCitation":"[17, 18]","noteIndex":0},"citationItems":[{"id":30,"uris":["http://zotero.org/users/local/YIAzD8Xc/items/YIQ7VIXP"],"itemData":{"id":30,"type":"article-journal","abstract":"Psychedelic mushrooms containing psilocybin and related tryptamines have long been used for ethnomycological purposes, but emerging evidence points to the potential therapeutic value of these mushrooms to address modern neurological, psychiatric health, and related disorders. As a result, psilocybin containing mushrooms represent a re-emerging frontier for mycological, biochemical, neuroscience, and pharmacology research. This work presents crucial information related to traditional use of psychedelic mushrooms, as well as research trends and knowledge gaps related to their diversity and distribution, technologies for quantification of tryptamines and other tryptophan-derived metabolites, as well as biosynthetic mechanisms for their production within mushrooms. In addition, we explore the current state of knowledge for how psilocybin and related tryptamines are metabolized in humans and their pharmacological effects, including beneficial and hazardous human health implications. Finally, we describe opportunities and challenges for investigating the cultural production of psychedelic mushrooms and metabolic engineering approaches to alter secondary metabolite production through biotechnology approaches integrated with machine learning. Ultimately, this critical review of all aspects related to psychedelic mushrooms represents a roadmap for future research efforts that will pave the way to new applications and refined protocols.","container-title":"Biotechnology Advances","DOI":"10.1016/j.biotechadv.2023.108247","ISSN":"07349750","journalAbbreviation":"Biotechnology Advances","language":"en","page":"108247","source":"DOI.org (Crossref)","title":"A journey with psychedelic mushrooms: From historical relevance to biology, cultivation, medicinal uses, biotechnology, and beyond","title-short":"A journey with psychedelic mushrooms","volume":"69","author":[{"family":"Pepe","given":"Marco"},{"family":"Hesami","given":"Mohsen"},{"family":"De La Cerda","given":"Karla A."},{"family":"Perreault","given":"Melissa L."},{"family":"Hsiang","given":"Tom"},{"family":"Jones","given":"Andrew Maxwell Phineas"}],"issued":{"date-parts":[["2023",12]]}}},{"id":176,"uris":["http://zotero.org/users/local/YIAzD8Xc/items/JA753Y6X"],"itemData":{"id":176,"type":"article-journal","language":"es","source":"Zotero","title":"CONVENIO SOBRE SUSTANCIAS SICOTROPICAS 1971","author":[{"family":"Barcenas","given":"Guillermo"}]}}],"schema":"https://github.com/citation-style-language/schema/raw/master/csl-citation.json"}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[17, 18]</w:t>
      </w:r>
      <w:r w:rsidRPr="004B6EC4">
        <w:rPr>
          <w:rFonts w:ascii="Arial" w:hAnsi="Arial" w:cs="Arial"/>
          <w:sz w:val="20"/>
          <w:szCs w:val="20"/>
        </w:rPr>
        <w:fldChar w:fldCharType="end"/>
      </w:r>
      <w:r w:rsidRPr="004B6EC4">
        <w:rPr>
          <w:rFonts w:ascii="Arial" w:hAnsi="Arial" w:cs="Arial"/>
          <w:sz w:val="20"/>
          <w:szCs w:val="20"/>
        </w:rPr>
        <w:t xml:space="preserve"> </w:t>
      </w:r>
    </w:p>
    <w:p w14:paraId="031F995B" w14:textId="77777777" w:rsidR="000F077A" w:rsidRPr="004B6EC4" w:rsidRDefault="000F077A" w:rsidP="000F077A">
      <w:pPr>
        <w:rPr>
          <w:rFonts w:ascii="Arial" w:hAnsi="Arial" w:cs="Arial"/>
          <w:b/>
          <w:bCs/>
          <w:sz w:val="20"/>
          <w:szCs w:val="20"/>
        </w:rPr>
      </w:pPr>
      <w:r w:rsidRPr="004B6EC4">
        <w:rPr>
          <w:rFonts w:ascii="Arial" w:hAnsi="Arial" w:cs="Arial"/>
          <w:b/>
          <w:bCs/>
          <w:sz w:val="20"/>
          <w:szCs w:val="20"/>
        </w:rPr>
        <w:t xml:space="preserve">Legislación de la psilocibina en México y a nivel mundial </w:t>
      </w:r>
    </w:p>
    <w:p w14:paraId="6E4AE7C9" w14:textId="3DF21188" w:rsidR="000F077A" w:rsidRPr="004B6EC4" w:rsidRDefault="000F077A" w:rsidP="000F077A">
      <w:pPr>
        <w:rPr>
          <w:rFonts w:ascii="Arial" w:hAnsi="Arial" w:cs="Arial"/>
          <w:sz w:val="20"/>
          <w:szCs w:val="20"/>
        </w:rPr>
      </w:pPr>
      <w:r w:rsidRPr="004B6EC4">
        <w:rPr>
          <w:rFonts w:ascii="Arial" w:hAnsi="Arial" w:cs="Arial"/>
          <w:sz w:val="20"/>
          <w:szCs w:val="20"/>
        </w:rPr>
        <w:t xml:space="preserve">Quienes sean sorprendidos en posesión, cultivo o distribución de hongos con psilocibina o psilocibina pura pueden enfrentar sanciones penales que varían de acuerdo con el contexto. Para cantidades mínimas, el Código Penal Federal en el art. 195 y 19, prevé penas de uno a tres años de prisión o medidas alternativas como tratamiento especializado. El tráfico, producción o comercialización puede castigarse con penas de cinco a quince años de prisión, así como multas y decomiso de bienes El tráfico internacional sin licencia se castiga severamente bajo leyes federales y tratados internacionales </w:t>
      </w:r>
      <w:r w:rsidRPr="004B6EC4">
        <w:rPr>
          <w:rFonts w:ascii="Arial" w:hAnsi="Arial" w:cs="Arial"/>
          <w:b/>
          <w:bCs/>
          <w:sz w:val="20"/>
          <w:szCs w:val="20"/>
        </w:rPr>
        <w:t xml:space="preserve"> </w:t>
      </w:r>
      <w:r w:rsidRPr="004B6EC4">
        <w:rPr>
          <w:rFonts w:ascii="Arial" w:hAnsi="Arial" w:cs="Arial"/>
          <w:b/>
          <w:bCs/>
          <w:sz w:val="20"/>
          <w:szCs w:val="20"/>
        </w:rPr>
        <w:fldChar w:fldCharType="begin"/>
      </w:r>
      <w:r w:rsidR="00C46986">
        <w:rPr>
          <w:rFonts w:ascii="Arial" w:hAnsi="Arial" w:cs="Arial"/>
          <w:b/>
          <w:bCs/>
          <w:sz w:val="20"/>
          <w:szCs w:val="20"/>
        </w:rPr>
        <w:instrText xml:space="preserve"> ADDIN ZOTERO_ITEM CSL_CITATION {"citationID":"OVjoBsJ9","properties":{"unsorted":false,"formattedCitation":"[19, 20]","plainCitation":"[19, 20]","noteIndex":0},"citationItems":[{"id":124,"uris":["http://zotero.org/users/local/YIAzD8Xc/items/BTYP6SHL"],"itemData":{"id":124,"type":"article-journal","language":"es","source":"Zotero","title":"Código Penal Federal"}},{"id":201,"uris":["http://zotero.org/users/local/YIAzD8Xc/items/XYFJRRB9"],"itemData":{"id":201,"type":"legislation","chapter-number":"Boletín Oficial del Estado núm. 264","number":"Acuerdo Internacional","page":"25865-25880","section":"1","title":"Convención única de 1961 sobre estupefacientes, enmendada por el Protocolo que modifica la Convención única de 1961 sobre estupefacientes. Nueva York, 8 de agosto de 1975","URL":"https://www.boe.es/eli/es/ai/1961/03/30/(1)","volume":"BOE-A-1981-25650","author":[{"literal":"Ministerio de Asuntos Exteriores"}],"accessed":{"date-parts":[["2026",4,5]]},"issued":{"date-parts":[["1981",11,4]]}}}],"schema":"https://github.com/citation-style-language/schema/raw/master/csl-citation.json"} </w:instrText>
      </w:r>
      <w:r w:rsidRPr="004B6EC4">
        <w:rPr>
          <w:rFonts w:ascii="Arial" w:hAnsi="Arial" w:cs="Arial"/>
          <w:b/>
          <w:bCs/>
          <w:sz w:val="20"/>
          <w:szCs w:val="20"/>
        </w:rPr>
        <w:fldChar w:fldCharType="separate"/>
      </w:r>
      <w:r w:rsidR="00C46986" w:rsidRPr="00C46986">
        <w:rPr>
          <w:rFonts w:ascii="Calibri" w:hAnsi="Calibri" w:cs="Calibri"/>
          <w:sz w:val="20"/>
        </w:rPr>
        <w:t>[19, 20]</w:t>
      </w:r>
      <w:r w:rsidRPr="004B6EC4">
        <w:rPr>
          <w:rFonts w:ascii="Arial" w:hAnsi="Arial" w:cs="Arial"/>
          <w:b/>
          <w:bCs/>
          <w:sz w:val="20"/>
          <w:szCs w:val="20"/>
        </w:rPr>
        <w:fldChar w:fldCharType="end"/>
      </w:r>
      <w:r w:rsidRPr="004B6EC4">
        <w:rPr>
          <w:rFonts w:ascii="Arial" w:hAnsi="Arial" w:cs="Arial"/>
          <w:b/>
          <w:bCs/>
          <w:sz w:val="20"/>
          <w:szCs w:val="20"/>
        </w:rPr>
        <w:t>.</w:t>
      </w:r>
      <w:r w:rsidRPr="004B6EC4">
        <w:rPr>
          <w:rFonts w:ascii="Arial" w:hAnsi="Arial" w:cs="Arial"/>
          <w:sz w:val="20"/>
          <w:szCs w:val="20"/>
        </w:rPr>
        <w:t xml:space="preserve"> En México, la posesión de drogas para consumo personal se encuentra regulada por la Ley General de Salud, Art 245-249,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rKRh79Ux","properties":{"unsorted":false,"formattedCitation":"[21]","plainCitation":"[21]","noteIndex":0},"citationItems":[{"id":105,"uris":["http://zotero.org/users/local/YIAzD8Xc/items/DTSYE9H6"],"itemData":{"id":105,"type":"article-journal","language":"es","source":"Zotero","title":"Ley General de Salud"}}],"schema":"https://github.com/citation-style-language/schema/raw/master/csl-citation.json"}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[21]</w:t>
      </w:r>
      <w:r w:rsidRPr="004B6EC4">
        <w:rPr>
          <w:rFonts w:ascii="Arial" w:hAnsi="Arial" w:cs="Arial"/>
          <w:sz w:val="20"/>
          <w:szCs w:val="20"/>
        </w:rPr>
        <w:fldChar w:fldCharType="end"/>
      </w:r>
      <w:r w:rsidRPr="004B6EC4">
        <w:rPr>
          <w:rFonts w:ascii="Arial" w:hAnsi="Arial" w:cs="Arial"/>
          <w:sz w:val="20"/>
          <w:szCs w:val="20"/>
        </w:rPr>
        <w:t xml:space="preserve"> que fija cantidades máximas toleradas para ciertas sustancias, pero la psilocibina no aparece de manera explícita en el listado de “dosis permitidas”, lo que implica que su posesión puede ser castigada incluso en cantidades mínimas, salvo en casos de rituales tradicionales debidamente acreditados. El consumo privado, aunque no está criminalizado en sí mismo, puede dar lugar a sanciones administrativas o penales dependiendo del contexto.</w:t>
      </w:r>
    </w:p>
    <w:p w14:paraId="4AAAFEE9" w14:textId="19B0250F" w:rsidR="000F077A" w:rsidRPr="004B6EC4" w:rsidRDefault="000F077A" w:rsidP="000F077A">
      <w:pPr>
        <w:rPr>
          <w:rFonts w:ascii="Arial" w:hAnsi="Arial" w:cs="Arial"/>
          <w:sz w:val="20"/>
          <w:szCs w:val="20"/>
        </w:rPr>
      </w:pPr>
      <w:r w:rsidRPr="004B6EC4">
        <w:rPr>
          <w:rFonts w:ascii="Arial" w:hAnsi="Arial" w:cs="Arial"/>
          <w:sz w:val="20"/>
          <w:szCs w:val="20"/>
        </w:rPr>
        <w:t xml:space="preserve">La psilocibina está catalogada como prohibida, clasificada en la Ley General de Salud, desde 1984, como una substancia psicotrópica del tipo I: Las que tienen valor terapéutico escaso o nulo y que, por ser susceptibles de uso indebido o abuso, constituyen un problema especialmente grave para la salud pública. En años recientes, la Secretaría de Salud ha mostrado apertura para estudios sobre aplicaciones terapéuticas de la psilocibina, especialmente en el tratamiento de depresión resistente y trastornos de ansiedad, siguiendo tendencias internacionales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{"citationID":"tFdPBNb7","properties":{"unsorted":false,"formattedCitation":"[21, 22]","plainCitation":"[21, 22]","noteIndex":0},"citationItems":[{"id":105,"uris":["http://zotero.org/users/local/YIAzD8Xc/items/DTSYE9H6"],"itemData":{"id":105,"type":"article-journal","language":"es","source":"Zotero","title":"Ley General de Salud"}},{"id":33,"uris":["http://zotero.org/users/local/YIAzD8Xc/items/DWGRTK3W"],"itemData":{"id":33,"type":"article-journal","abstract":"Rationale Recent clinical trials are reporting marked improvements in mental health outcomes with psychedelic drug-assisted psychotherapy.","container-title":"Psychopharmacology","DOI":"10.1007/s00213-017-4771-x","ISSN":"0033-3158, 1432-2072","issue":"2","journalAbbreviation":"Psychopharmacology","language":"en","page":"399-408","source":"DOI.org (Crossref)","title":"Psilocybin with psychological support for treatment-resistant depression: six-month follow-up","title-short":"Psilocybin with psychological support for treatment-resistant depression","volume":"235","author":[{"family":"Carhart-Harris","given":"R. L."},{"family":"Bolstridge","given":"M."},{"family":"Day","given":"C. M. J."},{"family":"Rucker","given":"J."},{"family":"Watts","given":"R."},{"family":"Erritzoe","given":"D. E."},{"family":"Kaelen","given":"M."},{"family":"Giribaldi","given":"B."},{"family":"Bloomfield","given":"M."},{"family":"Pilling","given":"S."},{"family":"Rickard","given":"J. A."},{"family":"Forbes","given":"B."},{"family":"Feilding","given":"A."},{"family":"Taylor","given":"D."},{"family":"Curran","given":"H. V."},{"family":"Nutt","given":"D. J."}],"issued":{"date-parts":[["2018",2]]}}}],"schema":"https://github.com/citation-style-language/schema/raw/master/csl-citation.json"}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[21, 22]</w:t>
      </w:r>
      <w:r w:rsidRPr="004B6EC4">
        <w:rPr>
          <w:rFonts w:ascii="Arial" w:hAnsi="Arial" w:cs="Arial"/>
          <w:sz w:val="20"/>
          <w:szCs w:val="20"/>
        </w:rPr>
        <w:fldChar w:fldCharType="end"/>
      </w:r>
      <w:r w:rsidRPr="004B6EC4">
        <w:rPr>
          <w:rFonts w:ascii="Arial" w:hAnsi="Arial" w:cs="Arial"/>
          <w:sz w:val="20"/>
          <w:szCs w:val="20"/>
        </w:rPr>
        <w:t xml:space="preserve"> </w:t>
      </w:r>
    </w:p>
    <w:p w14:paraId="1D0208FD" w14:textId="33702508" w:rsidR="000F077A" w:rsidRPr="004B6EC4" w:rsidRDefault="000F077A" w:rsidP="000F077A">
      <w:pPr>
        <w:rPr>
          <w:rFonts w:ascii="Arial" w:hAnsi="Arial" w:cs="Arial"/>
          <w:sz w:val="20"/>
          <w:szCs w:val="20"/>
        </w:rPr>
      </w:pPr>
      <w:r w:rsidRPr="004B6EC4">
        <w:rPr>
          <w:rFonts w:ascii="Arial" w:hAnsi="Arial" w:cs="Arial"/>
          <w:sz w:val="20"/>
          <w:szCs w:val="20"/>
        </w:rPr>
        <w:t xml:space="preserve">El consumo ceremonial de hongos persiste en regiones como Oaxaca y Puebla donde su utilización ritual ha estado protegida en cierto grado por el derecho de usos y </w:t>
      </w:r>
      <w:proofErr w:type="gramStart"/>
      <w:r w:rsidRPr="004B6EC4">
        <w:rPr>
          <w:rFonts w:ascii="Arial" w:hAnsi="Arial" w:cs="Arial"/>
          <w:sz w:val="20"/>
          <w:szCs w:val="20"/>
        </w:rPr>
        <w:t>costumbres  y</w:t>
      </w:r>
      <w:proofErr w:type="gramEnd"/>
      <w:r w:rsidRPr="004B6EC4">
        <w:rPr>
          <w:rFonts w:ascii="Arial" w:hAnsi="Arial" w:cs="Arial"/>
          <w:sz w:val="20"/>
          <w:szCs w:val="20"/>
        </w:rPr>
        <w:t xml:space="preserve"> convenios internacionales como el Convenio 169 de la OIT para la protección de pueblos indígenas y tribales en países independientes, sin </w:t>
      </w:r>
      <w:proofErr w:type="gramStart"/>
      <w:r w:rsidRPr="004B6EC4">
        <w:rPr>
          <w:rFonts w:ascii="Arial" w:hAnsi="Arial" w:cs="Arial"/>
          <w:sz w:val="20"/>
          <w:szCs w:val="20"/>
        </w:rPr>
        <w:t>embargo</w:t>
      </w:r>
      <w:proofErr w:type="gramEnd"/>
      <w:r w:rsidRPr="004B6EC4">
        <w:rPr>
          <w:rFonts w:ascii="Arial" w:hAnsi="Arial" w:cs="Arial"/>
          <w:sz w:val="20"/>
          <w:szCs w:val="20"/>
        </w:rPr>
        <w:t xml:space="preserve"> en el artículo 8 de este mismo convenio, se especifica que las tradiciones y costumbres no eximen a ninguna persona de las obligaciones descritas en la legislación de su país</w:t>
      </w:r>
      <w:r w:rsidRPr="004B6EC4">
        <w:rPr>
          <w:rFonts w:ascii="Arial" w:hAnsi="Arial" w:cs="Arial"/>
          <w:b/>
          <w:bCs/>
          <w:sz w:val="20"/>
          <w:szCs w:val="20"/>
        </w:rPr>
        <w:t xml:space="preserve">. </w:t>
      </w:r>
      <w:r w:rsidRPr="004B6EC4">
        <w:rPr>
          <w:rFonts w:ascii="Arial" w:hAnsi="Arial" w:cs="Arial"/>
          <w:b/>
          <w:bCs/>
          <w:sz w:val="20"/>
          <w:szCs w:val="20"/>
        </w:rPr>
        <w:fldChar w:fldCharType="begin"/>
      </w:r>
      <w:r w:rsidR="00C46986">
        <w:rPr>
          <w:rFonts w:ascii="Arial" w:hAnsi="Arial" w:cs="Arial"/>
          <w:b/>
          <w:bCs/>
          <w:sz w:val="20"/>
          <w:szCs w:val="20"/>
        </w:rPr>
        <w:instrText xml:space="preserve"> ADDIN ZOTERO_ITEM CSL_CITATION {"citationID":"i6L88pT2","properties":{"unsorted":false,"formattedCitation":"[23]","plainCitation":"[23]","noteIndex":0},"citationItems":[{"id":203,"uris":["http://zotero.org/users/local/YIAzD8Xc/items/L96IWXP4"],"itemData":{"id":203,"type":"webpage","abstract":"La Conferencia General de la Organización Internacional del Trabajo: Convocada en Ginebra por el Consejo de Administración de la Oficina Internacional del Trabajo, y congregada en dicha ciudad el 7 junio 1989, en su septuagésima sexta reunión; Observando las normas internacionales enunciadas en el Convenio y en la Recomendación sobre poblaciones indígenas y tribales, 1957;","container-title":"OHCHR","language":"es","title":"Convenio sobre pueblos indígenas y tribales, 1989 (169)","URL":"https://www.ohchr.org/es/instruments-mechanisms/instruments/indigenous-and-tribal-peoples-convention-1989-no-169","accessed":{"date-parts":[["2026",4,5]]}}}],"schema":"https://github.com/citation-style-language/schema/raw/master/csl-citation.json"} </w:instrText>
      </w:r>
      <w:r w:rsidRPr="004B6EC4">
        <w:rPr>
          <w:rFonts w:ascii="Arial" w:hAnsi="Arial" w:cs="Arial"/>
          <w:b/>
          <w:bCs/>
          <w:sz w:val="20"/>
          <w:szCs w:val="20"/>
        </w:rPr>
        <w:fldChar w:fldCharType="separate"/>
      </w:r>
      <w:r w:rsidR="00C46986" w:rsidRPr="00C46986">
        <w:rPr>
          <w:rFonts w:ascii="Calibri" w:hAnsi="Calibri" w:cs="Calibri"/>
          <w:sz w:val="20"/>
        </w:rPr>
        <w:t>[23]</w:t>
      </w:r>
      <w:r w:rsidRPr="004B6EC4">
        <w:rPr>
          <w:rFonts w:ascii="Arial" w:hAnsi="Arial" w:cs="Arial"/>
          <w:b/>
          <w:bCs/>
          <w:sz w:val="20"/>
          <w:szCs w:val="20"/>
        </w:rPr>
        <w:fldChar w:fldCharType="end"/>
      </w:r>
      <w:r w:rsidRPr="004B6EC4">
        <w:rPr>
          <w:rFonts w:ascii="Arial" w:hAnsi="Arial" w:cs="Arial"/>
          <w:b/>
          <w:bCs/>
          <w:sz w:val="20"/>
          <w:szCs w:val="20"/>
        </w:rPr>
        <w:t xml:space="preserve"> </w:t>
      </w:r>
      <w:r w:rsidRPr="004B6EC4">
        <w:rPr>
          <w:rFonts w:ascii="Arial" w:hAnsi="Arial" w:cs="Arial"/>
          <w:sz w:val="20"/>
          <w:szCs w:val="20"/>
        </w:rPr>
        <w:t xml:space="preserve">Es decir que la intención del uso de la psilocibina determinara el destino de la institución o persona que lo fomente, siendo la </w:t>
      </w:r>
      <w:proofErr w:type="gramStart"/>
      <w:r w:rsidRPr="004B6EC4">
        <w:rPr>
          <w:rFonts w:ascii="Arial" w:hAnsi="Arial" w:cs="Arial"/>
          <w:sz w:val="20"/>
          <w:szCs w:val="20"/>
        </w:rPr>
        <w:t>Secretaria</w:t>
      </w:r>
      <w:proofErr w:type="gramEnd"/>
      <w:r w:rsidRPr="004B6EC4">
        <w:rPr>
          <w:rFonts w:ascii="Arial" w:hAnsi="Arial" w:cs="Arial"/>
          <w:sz w:val="20"/>
          <w:szCs w:val="20"/>
        </w:rPr>
        <w:t xml:space="preserve"> de Salud y la COFEPRIS las entidades que determinen cada caso. </w:t>
      </w:r>
    </w:p>
    <w:p w14:paraId="721F8B4D" w14:textId="7203C954" w:rsidR="000F077A" w:rsidRPr="004B6EC4" w:rsidRDefault="000F077A" w:rsidP="000F077A">
      <w:pPr>
        <w:rPr>
          <w:rFonts w:ascii="Arial" w:hAnsi="Arial" w:cs="Arial"/>
          <w:sz w:val="20"/>
          <w:szCs w:val="20"/>
        </w:rPr>
      </w:pPr>
      <w:r w:rsidRPr="004B6EC4">
        <w:rPr>
          <w:rFonts w:ascii="Arial" w:hAnsi="Arial" w:cs="Arial"/>
          <w:sz w:val="20"/>
          <w:szCs w:val="20"/>
        </w:rPr>
        <w:t>Debido al auge del turismo psicodélico en México, se debe tener en cuenta la Norma Oficial Mexicana NOM-059-SEMARNAT-2010 que regula la extracción y manejo de especies silvestres, incluyendo algunos hongos psilocybes, en el contexto de conservación ambiental. Aunque no regula directamente la psilocibina, establece requisitos para el manejo de especies protegidas.</w:t>
      </w:r>
      <w:r w:rsidRPr="004B6EC4">
        <w:rPr>
          <w:rFonts w:ascii="Arial" w:hAnsi="Arial" w:cs="Arial"/>
          <w:sz w:val="20"/>
          <w:szCs w:val="20"/>
        </w:rPr>
        <w:fldChar w:fldCharType="begin"/>
      </w:r>
      <w:r w:rsidR="00BC1F76">
        <w:rPr>
          <w:rFonts w:ascii="Arial" w:hAnsi="Arial" w:cs="Arial"/>
          <w:sz w:val="20"/>
          <w:szCs w:val="20"/>
        </w:rPr>
        <w:instrText xml:space="preserve"> ADDIN ZOTERO_ITEM CSL_CITATION {"citationID":"ikp95vMc","properties":{"unsorted":false,"formattedCitation":"[10]","plainCitation":"[10]","noteIndex":0},"citationItems":[{"id":111,"uris":["http://zotero.org/users/local/YIAzD8Xc/items/PDRX5SSU"],"itemData":{"id":111,"type":"webpage","abstract":"Esta  Norma  Oficial  Mexicana  tiene  por  objeto  identificar  las  especies  o  poblaciones  de  flora  y  fauna silvestres  en  riesgo  en  la  República Mexicana,  mediante  la  integración  de  las  listas  correspondientes,  así como  establecer  los  criterios  de  inclusión,  exclusión  o  cambio  de  categoría  de  riesgo  para  las  especies  o poblaciones, mediante un método de evaluación de su riesgo de extinción y es de observancia obligatoria en todo  el  Territorio  Nacional,  para  las  personas  físicas  o  morales  que  promuevan  la  inclusión,  exclusión  o cambio de las especies o poblaciones silvestres en alguna de las categorías de riesgo, establecidas por esta Norma.","container-title":"gob.mx","language":"es","title":"NORMA OFICIAL MEXICANA NOM-059-SEMARNAT-2010","URL":"http://www.gob.mx/profepa/documentos/norma-oficial-mexicana-nom-059-semarnat-2010","author":[{"family":"Ambiente","given":"Procuraduria Federal de Proteccion","dropping-particle":"al"}],"accessed":{"date-parts":[["2026",4,3]]}}}],"schema":"https://github.com/citation-style-language/schema/raw/master/csl-citation.json"} </w:instrText>
      </w:r>
      <w:r w:rsidRPr="004B6EC4">
        <w:rPr>
          <w:rFonts w:ascii="Arial" w:hAnsi="Arial" w:cs="Arial"/>
          <w:sz w:val="20"/>
          <w:szCs w:val="20"/>
        </w:rPr>
        <w:fldChar w:fldCharType="separate"/>
      </w:r>
      <w:r w:rsidR="00BC1F76" w:rsidRPr="00BC1F76">
        <w:rPr>
          <w:rFonts w:ascii="Calibri" w:hAnsi="Calibri" w:cs="Calibri"/>
          <w:sz w:val="20"/>
        </w:rPr>
        <w:t>[10]</w:t>
      </w:r>
      <w:r w:rsidRPr="004B6EC4">
        <w:rPr>
          <w:rFonts w:ascii="Arial" w:hAnsi="Arial" w:cs="Arial"/>
          <w:sz w:val="20"/>
          <w:szCs w:val="20"/>
        </w:rPr>
        <w:fldChar w:fldCharType="end"/>
      </w:r>
      <w:r w:rsidRPr="004B6EC4">
        <w:rPr>
          <w:rFonts w:ascii="Arial" w:hAnsi="Arial" w:cs="Arial"/>
          <w:sz w:val="20"/>
          <w:szCs w:val="20"/>
        </w:rPr>
        <w:t xml:space="preserve"> </w:t>
      </w:r>
    </w:p>
    <w:p w14:paraId="3F300E6C" w14:textId="10C785C4" w:rsidR="000F077A" w:rsidRPr="004B6EC4" w:rsidRDefault="000F077A" w:rsidP="000F077A">
      <w:pPr>
        <w:rPr>
          <w:rFonts w:ascii="Arial" w:hAnsi="Arial" w:cs="Arial"/>
          <w:sz w:val="20"/>
          <w:szCs w:val="20"/>
        </w:rPr>
      </w:pPr>
      <w:r w:rsidRPr="004B6EC4">
        <w:rPr>
          <w:rFonts w:ascii="Arial" w:hAnsi="Arial" w:cs="Arial"/>
          <w:sz w:val="20"/>
          <w:szCs w:val="20"/>
        </w:rPr>
        <w:t xml:space="preserve">Para la regulación de la psilocibina, mayoritariamente se siguen las recomendaciones de la Comisión de Estupefacientes de la ONU, que, en </w:t>
      </w:r>
      <w:proofErr w:type="gramStart"/>
      <w:r w:rsidRPr="004B6EC4">
        <w:rPr>
          <w:rFonts w:ascii="Arial" w:hAnsi="Arial" w:cs="Arial"/>
          <w:sz w:val="20"/>
          <w:szCs w:val="20"/>
        </w:rPr>
        <w:t>la  Convención</w:t>
      </w:r>
      <w:proofErr w:type="gramEnd"/>
      <w:r w:rsidRPr="004B6EC4">
        <w:rPr>
          <w:rFonts w:ascii="Arial" w:hAnsi="Arial" w:cs="Arial"/>
          <w:sz w:val="20"/>
          <w:szCs w:val="20"/>
        </w:rPr>
        <w:t xml:space="preserve"> sobre Sustancias Psicotrópicas de 1971, celebrada en Viena, incorpora a la psilocibina en la Lista 1. Este acuerdo internacional recomendó a los países firmantes a restringir la producción,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ajrtxxWP","properties":{"unsorted":false,"formattedCitation":"[18]","plainCitation":"[18]","noteIndex":0},"citationItems":[{"id":176,"uris":["http://zotero.org/users/local/YIAzD8Xc/items/JA753Y6X"],"itemData":{"id":176,"type":"article-journal","language":"es","source":"Zotero","title":"CONVENIO SOBRE SUSTANCIAS SICOTROPICAS 1971","author":[{"family":"Barcenas","given":"Guillermo"}]}}],"schema":"https://github.com/citation-style-language/schema/raw/master/csl-citation.json"}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[18]</w:t>
      </w:r>
      <w:r w:rsidRPr="004B6EC4">
        <w:rPr>
          <w:rFonts w:ascii="Arial" w:hAnsi="Arial" w:cs="Arial"/>
          <w:sz w:val="20"/>
          <w:szCs w:val="20"/>
        </w:rPr>
        <w:fldChar w:fldCharType="end"/>
      </w:r>
      <w:r w:rsidRPr="004B6EC4">
        <w:rPr>
          <w:rFonts w:ascii="Arial" w:hAnsi="Arial" w:cs="Arial"/>
          <w:sz w:val="20"/>
          <w:szCs w:val="20"/>
        </w:rPr>
        <w:t xml:space="preserve"> México, como miembro de la ONU, adaptó su legislación y regulaciones para alinearse con los tratados internacionales, a reserva de que subsisten en su territorio </w:t>
      </w:r>
      <w:r w:rsidRPr="004B6EC4">
        <w:rPr>
          <w:rFonts w:ascii="Arial" w:hAnsi="Arial" w:cs="Arial"/>
          <w:sz w:val="20"/>
          <w:szCs w:val="20"/>
        </w:rPr>
        <w:lastRenderedPageBreak/>
        <w:t>ciertos grupos étnicos indígenas que, en ritos mágicos o religiosos, utilizan tradicionalmente plantas silvestres que contienen sustancias sicotrópicas de las de la Lista I</w:t>
      </w:r>
      <w:r w:rsidRPr="004B6EC4">
        <w:rPr>
          <w:rFonts w:ascii="Arial" w:hAnsi="Arial" w:cs="Arial"/>
          <w:b/>
          <w:bCs/>
          <w:sz w:val="20"/>
          <w:szCs w:val="20"/>
        </w:rPr>
        <w:t xml:space="preserve">. </w:t>
      </w:r>
      <w:r w:rsidRPr="004B6EC4">
        <w:rPr>
          <w:rFonts w:ascii="Arial" w:hAnsi="Arial" w:cs="Arial"/>
          <w:b/>
          <w:bCs/>
          <w:sz w:val="20"/>
          <w:szCs w:val="20"/>
        </w:rPr>
        <w:fldChar w:fldCharType="begin"/>
      </w:r>
      <w:r w:rsidR="00C46986">
        <w:rPr>
          <w:rFonts w:ascii="Arial" w:hAnsi="Arial" w:cs="Arial"/>
          <w:b/>
          <w:bCs/>
          <w:sz w:val="20"/>
          <w:szCs w:val="20"/>
        </w:rPr>
        <w:instrText xml:space="preserve"> ADDIN ZOTERO_ITEM CSL_CITATION {"citationID":"YZ9tvY3S","properties":{"unsorted":false,"formattedCitation":"[23]","plainCitation":"[23]","noteIndex":0},"citationItems":[{"id":203,"uris":["http://zotero.org/users/local/YIAzD8Xc/items/L96IWXP4"],"itemData":{"id":203,"type":"webpage","abstract":"La Conferencia General de la Organización Internacional del Trabajo: Convocada en Ginebra por el Consejo de Administración de la Oficina Internacional del Trabajo, y congregada en dicha ciudad el 7 junio 1989, en su septuagésima sexta reunión; Observando las normas internacionales enunciadas en el Convenio y en la Recomendación sobre poblaciones indígenas y tribales, 1957;","container-title":"OHCHR","language":"es","title":"Convenio sobre pueblos indígenas y tribales, 1989 (169)","URL":"https://www.ohchr.org/es/instruments-mechanisms/instruments/indigenous-and-tribal-peoples-convention-1989-no-169","accessed":{"date-parts":[["2026",4,5]]}}}],"schema":"https://github.com/citation-style-language/schema/raw/master/csl-citation.json"} </w:instrText>
      </w:r>
      <w:r w:rsidRPr="004B6EC4">
        <w:rPr>
          <w:rFonts w:ascii="Arial" w:hAnsi="Arial" w:cs="Arial"/>
          <w:b/>
          <w:bCs/>
          <w:sz w:val="20"/>
          <w:szCs w:val="20"/>
        </w:rPr>
        <w:fldChar w:fldCharType="separate"/>
      </w:r>
      <w:r w:rsidR="00C46986" w:rsidRPr="00C46986">
        <w:rPr>
          <w:rFonts w:ascii="Calibri" w:hAnsi="Calibri" w:cs="Calibri"/>
          <w:sz w:val="20"/>
        </w:rPr>
        <w:t>[23]</w:t>
      </w:r>
      <w:r w:rsidRPr="004B6EC4">
        <w:rPr>
          <w:rFonts w:ascii="Arial" w:hAnsi="Arial" w:cs="Arial"/>
          <w:b/>
          <w:bCs/>
          <w:sz w:val="20"/>
          <w:szCs w:val="20"/>
        </w:rPr>
        <w:fldChar w:fldCharType="end"/>
      </w:r>
      <w:r w:rsidRPr="004B6EC4">
        <w:rPr>
          <w:rFonts w:ascii="Arial" w:hAnsi="Arial" w:cs="Arial"/>
          <w:b/>
          <w:bCs/>
          <w:sz w:val="20"/>
          <w:szCs w:val="20"/>
        </w:rPr>
        <w:t xml:space="preserve"> </w:t>
      </w:r>
      <w:r w:rsidRPr="004B6EC4">
        <w:rPr>
          <w:rFonts w:ascii="Arial" w:hAnsi="Arial" w:cs="Arial"/>
          <w:sz w:val="20"/>
          <w:szCs w:val="20"/>
        </w:rPr>
        <w:t>En la ONU, hasta 2026 no han reclasificado la psilocibina como sustancia de bajo riesgo y con potencial terapeutico</w:t>
      </w:r>
    </w:p>
    <w:p w14:paraId="31A60C0B" w14:textId="26B2D175" w:rsidR="000F077A" w:rsidRPr="004B6EC4" w:rsidRDefault="000F077A" w:rsidP="000F077A">
      <w:pPr>
        <w:rPr>
          <w:rFonts w:ascii="Arial" w:hAnsi="Arial" w:cs="Arial"/>
          <w:sz w:val="20"/>
          <w:szCs w:val="20"/>
        </w:rPr>
      </w:pPr>
      <w:r w:rsidRPr="004B6EC4">
        <w:rPr>
          <w:rFonts w:ascii="Arial" w:hAnsi="Arial" w:cs="Arial"/>
          <w:sz w:val="20"/>
          <w:szCs w:val="20"/>
        </w:rPr>
        <w:t xml:space="preserve">A la fecha se han presentado numerosos amparos ante el Juzgado Décimo de Distrito en materia Administrativa de la Ciudad de México cuya resolución rechaza el uso lúdico, recreativo y las prácticas de autoconsumo de la psilocibina. Recientemente, se ha presentado el Amparo en Revisión 374/2020, este amparo argumenta que estas normas vulneran su derecho al libre desarrollo de la personalidad, sin embargo, la persona solicitante no justificó ser parte de las comunidades practicantes del uso de estas sustancias de forma ancestral, lo cual fue de vital consideración para la negativa ante este amparo.  En la relatoría de Velasco Pedraza, sobre el Amparo en Revisión 374/2020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{"citationID":"4XxjiYM0","properties":{"unsorted":false,"formattedCitation":"[24]","plainCitation":"[24]","noteIndex":0},"citationItems":[{"id":129,"uris":["http://zotero.org/users/local/YIAzD8Xc/items/9NAAZ6JX"],"itemData":{"id":129,"type":"article-journal","abstract":"The document reviews the Amparo in Review 374/2020 from Mexico’s Supreme Court of Justice, which addressed the personal use of psychotropic substances like psilocybin (hallucinogenic mushrooms) and mescaline (peyote). The Court authorized the personal use of cannabis, recognizing it as part of the right to free development of personality, but denied the recreational use of mushrooms and peyote, emphasizing their strong connection to ancestral and community-based rituals. The Court concluded that the use of these substances cannot be considered an individual or recreational act, as their proper use involves specific knowledge and ritual settings. The report questions whether an absolute prohibition is a fair measure and proposes the need for regulation that could allow controlled access for people seeking therapeutic purposes or expanded consciousness, even if they are not part of indigenous communities.","container-title":"Magister Iuris. Revista Digital de la Facultad de Derecho","issue":"25","language":"es","license":"Derechos de autor 2025 Universidad Nacional Autónoma de México","page":"50-65","source":"revistas.unam.mx","title":"Relatoría: Uso de sustancias psicotrópicas. Libre desarrollo de la personalidad. Amparo en Revisión 374/2020 (Primera Sala de la Suprema Corte de Justicia de la Nación)","title-short":"Relatoría","author":[{"family":"Peraza","given":"Daisy Scarlett Velasco"}],"issued":{"date-parts":[["2025",7,2]]}}}],"schema":"https://github.com/citation-style-language/schema/raw/master/csl-citation.json"}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[24]</w:t>
      </w:r>
      <w:r w:rsidRPr="004B6EC4">
        <w:rPr>
          <w:rFonts w:ascii="Arial" w:hAnsi="Arial" w:cs="Arial"/>
          <w:sz w:val="20"/>
          <w:szCs w:val="20"/>
        </w:rPr>
        <w:fldChar w:fldCharType="end"/>
      </w:r>
      <w:r w:rsidRPr="004B6EC4">
        <w:rPr>
          <w:rFonts w:ascii="Arial" w:hAnsi="Arial" w:cs="Arial"/>
          <w:sz w:val="20"/>
          <w:szCs w:val="20"/>
        </w:rPr>
        <w:t xml:space="preserve">, se sugiere una falta de congruencia ante esta negativa ya que el uso ancestral fue considerado por la corte un beneficio dentro de la adscripción indígena, algo positivo y beneficio. </w:t>
      </w:r>
    </w:p>
    <w:p w14:paraId="4A28CE6C" w14:textId="59E57246" w:rsidR="000F077A" w:rsidRPr="004B6EC4" w:rsidRDefault="000F077A" w:rsidP="000F077A">
      <w:pPr>
        <w:rPr>
          <w:rFonts w:ascii="Arial" w:hAnsi="Arial" w:cs="Arial"/>
          <w:sz w:val="20"/>
          <w:szCs w:val="20"/>
        </w:rPr>
      </w:pPr>
      <w:r w:rsidRPr="004B6EC4">
        <w:rPr>
          <w:rFonts w:ascii="Arial" w:hAnsi="Arial" w:cs="Arial"/>
          <w:sz w:val="20"/>
          <w:szCs w:val="20"/>
        </w:rPr>
        <w:t xml:space="preserve">El 2025 se establecio la homoclave COFEPRIS-03-021 para la autorización de uso o comercialización de estupefacientes o psicotrópicos asi como una herramienta digital que agilizara los tramites de registero. esta autoridad sanitaria se esta enfocando en fortalecer el marco regulatorio en materia de estupefacientes, psicotrópicos, </w:t>
      </w:r>
      <w:proofErr w:type="gramStart"/>
      <w:r w:rsidRPr="004B6EC4">
        <w:rPr>
          <w:rFonts w:ascii="Arial" w:hAnsi="Arial" w:cs="Arial"/>
          <w:sz w:val="20"/>
          <w:szCs w:val="20"/>
        </w:rPr>
        <w:t>precursores químicos y productos químicos</w:t>
      </w:r>
      <w:proofErr w:type="gramEnd"/>
      <w:r w:rsidRPr="004B6EC4">
        <w:rPr>
          <w:rFonts w:ascii="Arial" w:hAnsi="Arial" w:cs="Arial"/>
          <w:sz w:val="20"/>
          <w:szCs w:val="20"/>
        </w:rPr>
        <w:t xml:space="preserve"> esenciales para su uso lícito en actividades industriales, médicas y científicas.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{"citationID":"UFAmlblZ","properties":{"unsorted":false,"formattedCitation":"[25]","plainCitation":"[25]","noteIndex":0},"citationItems":[{"id":228,"uris":["http://zotero.org/users/local/YIAzD8Xc/items/X2UDBVIH"],"itemData":{"id":228,"type":"webpage","abstract":"Comunicado de prensa 31/ 2025","container-title":"gob.mx","language":"es","publisher-place":"CDMX","title":"COFEPRIS fortalece la regulación sanitaria de sustancias controladas","URL":"http://www.gob.mx/cofepris/es/articulos/cofepris-fortalece-la-regulacion-sanitaria-de-sustancias-controladas?idiom=es","author":[{"family":"Sanitarios","given":"Comisión Federal para la Protección contra Riesgos"}],"accessed":{"date-parts":[["2026",4,7]]},"issued":{"date-parts":[["2025",11,19]]}}}],"schema":"https://github.com/citation-style-language/schema/raw/master/csl-citation.json"}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[25]</w:t>
      </w:r>
      <w:r w:rsidRPr="004B6EC4">
        <w:rPr>
          <w:rFonts w:ascii="Arial" w:hAnsi="Arial" w:cs="Arial"/>
          <w:sz w:val="20"/>
          <w:szCs w:val="20"/>
        </w:rPr>
        <w:fldChar w:fldCharType="end"/>
      </w:r>
    </w:p>
    <w:p w14:paraId="1A83E991" w14:textId="77777777" w:rsidR="000F077A" w:rsidRPr="004B6EC4" w:rsidRDefault="000F077A" w:rsidP="000F077A">
      <w:pPr>
        <w:rPr>
          <w:rFonts w:ascii="Arial" w:hAnsi="Arial" w:cs="Arial"/>
          <w:sz w:val="20"/>
          <w:szCs w:val="20"/>
        </w:rPr>
      </w:pPr>
      <w:r w:rsidRPr="004B6EC4">
        <w:rPr>
          <w:rFonts w:ascii="Arial" w:hAnsi="Arial" w:cs="Arial"/>
          <w:sz w:val="20"/>
          <w:szCs w:val="20"/>
        </w:rPr>
        <w:t>Las referencias corresponden a las leyes y regulaciones oficiales de cada país sobre psilocibina y hongos psicodélicos.</w:t>
      </w:r>
    </w:p>
    <w:tbl>
      <w:tblPr>
        <w:tblStyle w:val="TableNormal"/>
        <w:tblW w:w="8903" w:type="dxa"/>
        <w:tblCellMar>
          <w:top w:w="15" w:type="dxa"/>
          <w:left w:w="15" w:type="dxa"/>
          <w:bottom w:w="15" w:type="dxa"/>
          <w:right w:w="15" w:type="dxa"/>
        </w:tblCellMar>
        <w:tblLook w:val="04A0" w:firstRow="1" w:lastRow="0" w:firstColumn="1" w:lastColumn="0" w:noHBand="0" w:noVBand="1"/>
      </w:tblPr>
      <w:tblGrid>
        <w:gridCol w:w="1160"/>
        <w:gridCol w:w="4489"/>
        <w:gridCol w:w="3254"/>
      </w:tblGrid>
      <w:tr w:rsidR="000F077A" w:rsidRPr="004B6EC4" w14:paraId="2893D9DF" w14:textId="77777777" w:rsidTr="00BE2B99">
        <w:trPr>
          <w:trHeight w:val="89"/>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1A41B78" w14:textId="77777777" w:rsidR="000F077A" w:rsidRPr="004B6EC4" w:rsidRDefault="000F077A" w:rsidP="00BE2B99">
            <w:pPr>
              <w:rPr>
                <w:rFonts w:ascii="Arial" w:hAnsi="Arial" w:cs="Arial"/>
                <w:sz w:val="20"/>
                <w:szCs w:val="20"/>
              </w:rPr>
            </w:pPr>
            <w:r w:rsidRPr="004B6EC4">
              <w:rPr>
                <w:rFonts w:ascii="Arial" w:hAnsi="Arial" w:cs="Arial"/>
                <w:b/>
                <w:bCs/>
                <w:sz w:val="20"/>
                <w:szCs w:val="20"/>
              </w:rPr>
              <w:t>País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FBEA27D" w14:textId="77777777" w:rsidR="000F077A" w:rsidRPr="004B6EC4" w:rsidRDefault="000F077A" w:rsidP="00BE2B99">
            <w:pPr>
              <w:rPr>
                <w:rFonts w:ascii="Arial" w:hAnsi="Arial" w:cs="Arial"/>
                <w:sz w:val="20"/>
                <w:szCs w:val="20"/>
              </w:rPr>
            </w:pPr>
            <w:r w:rsidRPr="004B6EC4">
              <w:rPr>
                <w:rFonts w:ascii="Arial" w:hAnsi="Arial" w:cs="Arial"/>
                <w:b/>
                <w:bCs/>
                <w:sz w:val="20"/>
                <w:szCs w:val="20"/>
              </w:rPr>
              <w:t>Situación legal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F6C4B5B" w14:textId="77777777" w:rsidR="000F077A" w:rsidRPr="004B6EC4" w:rsidRDefault="000F077A" w:rsidP="00BE2B99">
            <w:pPr>
              <w:rPr>
                <w:rFonts w:ascii="Arial" w:hAnsi="Arial" w:cs="Arial"/>
                <w:sz w:val="20"/>
                <w:szCs w:val="20"/>
              </w:rPr>
            </w:pPr>
            <w:r w:rsidRPr="004B6EC4">
              <w:rPr>
                <w:rFonts w:ascii="Arial" w:hAnsi="Arial" w:cs="Arial"/>
                <w:b/>
                <w:bCs/>
                <w:sz w:val="20"/>
                <w:szCs w:val="20"/>
              </w:rPr>
              <w:t>Fuente oficial</w:t>
            </w:r>
          </w:p>
        </w:tc>
      </w:tr>
      <w:tr w:rsidR="000F077A" w:rsidRPr="004B6EC4" w14:paraId="0FE71347" w14:textId="77777777" w:rsidTr="00BE2B9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B1A0492" w14:textId="77777777" w:rsidR="000F077A" w:rsidRPr="004B6EC4" w:rsidRDefault="000F077A" w:rsidP="00BE2B99">
            <w:pPr>
              <w:rPr>
                <w:rFonts w:ascii="Arial" w:hAnsi="Arial" w:cs="Arial"/>
                <w:sz w:val="20"/>
                <w:szCs w:val="20"/>
              </w:rPr>
            </w:pPr>
            <w:r w:rsidRPr="004B6EC4">
              <w:rPr>
                <w:rFonts w:ascii="Arial" w:hAnsi="Arial" w:cs="Arial"/>
                <w:sz w:val="20"/>
                <w:szCs w:val="20"/>
              </w:rPr>
              <w:t>México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02E3699" w14:textId="77777777" w:rsidR="000F077A" w:rsidRPr="004B6EC4" w:rsidRDefault="000F077A" w:rsidP="00BE2B99">
            <w:pPr>
              <w:rPr>
                <w:rFonts w:ascii="Arial" w:hAnsi="Arial" w:cs="Arial"/>
                <w:sz w:val="20"/>
                <w:szCs w:val="20"/>
              </w:rPr>
            </w:pPr>
            <w:r w:rsidRPr="004B6EC4">
              <w:rPr>
                <w:rFonts w:ascii="Arial" w:hAnsi="Arial" w:cs="Arial"/>
                <w:sz w:val="20"/>
                <w:szCs w:val="20"/>
              </w:rPr>
              <w:t>Prohibida bajo la Ley General de Salud; excepción para usos tradicionales indígenas.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7F15217" w14:textId="2C462871" w:rsidR="000F077A" w:rsidRPr="004B6EC4" w:rsidRDefault="000F077A" w:rsidP="00BE2B99">
            <w:pPr>
              <w:rPr>
                <w:rFonts w:ascii="Arial" w:hAnsi="Arial" w:cs="Arial"/>
                <w:sz w:val="20"/>
                <w:szCs w:val="20"/>
              </w:rPr>
            </w:pPr>
            <w:r w:rsidRPr="004B6EC4">
              <w:rPr>
                <w:rFonts w:ascii="Arial" w:hAnsi="Arial" w:cs="Arial"/>
                <w:sz w:val="20"/>
                <w:szCs w:val="20"/>
              </w:rPr>
              <w:t xml:space="preserve">Secretaría de Salud: Ley General de Salud </w:t>
            </w:r>
            <w:r w:rsidRPr="004B6EC4">
              <w:rPr>
                <w:rFonts w:ascii="Arial" w:hAnsi="Arial" w:cs="Arial"/>
                <w:b/>
                <w:bCs/>
                <w:sz w:val="20"/>
                <w:szCs w:val="20"/>
              </w:rPr>
              <w:fldChar w:fldCharType="begin"/>
            </w:r>
            <w:r w:rsidR="00C46986">
              <w:rPr>
                <w:rFonts w:ascii="Arial" w:hAnsi="Arial" w:cs="Arial"/>
                <w:b/>
                <w:bCs/>
                <w:sz w:val="20"/>
                <w:szCs w:val="20"/>
              </w:rPr>
              <w:instrText xml:space="preserve"> ADDIN ZOTERO_ITEM CSL_CITATION {"citationID":"2q94Teei","properties":{"unsorted":false,"formattedCitation":"[21]","plainCitation":"[21]","noteIndex":0},"citationItems":[{"id":105,"uris":["http://zotero.org/users/local/YIAzD8Xc/items/DTSYE9H6"],"itemData":{"id":105,"type":"article-journal","language":"es","source":"Zotero","title":"Ley General de Salud"}}],"schema":"https://github.com/citation-style-language/schema/raw/master/csl-citation.json"} </w:instrText>
            </w:r>
            <w:r w:rsidRPr="004B6EC4">
              <w:rPr>
                <w:rFonts w:ascii="Arial" w:hAnsi="Arial" w:cs="Arial"/>
                <w:b/>
                <w:bCs/>
                <w:sz w:val="20"/>
                <w:szCs w:val="20"/>
              </w:rPr>
              <w:fldChar w:fldCharType="separate"/>
            </w:r>
            <w:r w:rsidR="00C46986" w:rsidRPr="00C46986">
              <w:rPr>
                <w:rFonts w:ascii="Calibri" w:hAnsi="Calibri" w:cs="Calibri"/>
                <w:sz w:val="20"/>
              </w:rPr>
              <w:t>[21]</w:t>
            </w:r>
            <w:r w:rsidRPr="004B6EC4">
              <w:rPr>
                <w:rFonts w:ascii="Arial" w:hAnsi="Arial" w:cs="Arial"/>
                <w:b/>
                <w:bCs/>
                <w:sz w:val="20"/>
                <w:szCs w:val="20"/>
              </w:rPr>
              <w:fldChar w:fldCharType="end"/>
            </w:r>
          </w:p>
        </w:tc>
      </w:tr>
      <w:tr w:rsidR="000F077A" w:rsidRPr="00163773" w14:paraId="22AABC21" w14:textId="77777777" w:rsidTr="00BE2B99">
        <w:trPr>
          <w:trHeight w:val="526"/>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EDB32E2" w14:textId="77777777" w:rsidR="000F077A" w:rsidRPr="004B6EC4" w:rsidRDefault="000F077A" w:rsidP="00BE2B99">
            <w:pPr>
              <w:rPr>
                <w:rFonts w:ascii="Arial" w:hAnsi="Arial" w:cs="Arial"/>
                <w:sz w:val="20"/>
                <w:szCs w:val="20"/>
              </w:rPr>
            </w:pPr>
            <w:r w:rsidRPr="004B6EC4">
              <w:rPr>
                <w:rFonts w:ascii="Arial" w:hAnsi="Arial" w:cs="Arial"/>
                <w:sz w:val="20"/>
                <w:szCs w:val="20"/>
              </w:rPr>
              <w:t>Estados Unidos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A3BC266" w14:textId="77777777" w:rsidR="000F077A" w:rsidRPr="004B6EC4" w:rsidRDefault="000F077A" w:rsidP="00BE2B99">
            <w:pPr>
              <w:rPr>
                <w:rFonts w:ascii="Arial" w:hAnsi="Arial" w:cs="Arial"/>
                <w:sz w:val="20"/>
                <w:szCs w:val="20"/>
              </w:rPr>
            </w:pPr>
            <w:r w:rsidRPr="004B6EC4">
              <w:rPr>
                <w:rFonts w:ascii="Arial" w:hAnsi="Arial" w:cs="Arial"/>
                <w:sz w:val="20"/>
                <w:szCs w:val="20"/>
              </w:rPr>
              <w:t>Clasificada como sustancia controlada (Schedule I); despenalización parcial en algunos estados y ciudades.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19D82AB" w14:textId="0677A858" w:rsidR="000F077A" w:rsidRPr="004B6EC4" w:rsidRDefault="000F077A" w:rsidP="00BE2B99">
            <w:pPr>
              <w:rPr>
                <w:rFonts w:ascii="Arial" w:hAnsi="Arial" w:cs="Arial"/>
                <w:sz w:val="20"/>
                <w:szCs w:val="20"/>
                <w:lang w:val="en-US"/>
              </w:rPr>
            </w:pPr>
            <w:r w:rsidRPr="004B6EC4">
              <w:rPr>
                <w:rFonts w:ascii="Arial" w:hAnsi="Arial" w:cs="Arial"/>
                <w:sz w:val="20"/>
                <w:szCs w:val="20"/>
                <w:lang w:val="en-US"/>
              </w:rPr>
              <w:t xml:space="preserve">Drug Enforcement Administration (DEA): Controlled Substances Act </w:t>
            </w:r>
            <w:r w:rsidRPr="004B6EC4">
              <w:rPr>
                <w:rFonts w:ascii="Arial" w:hAnsi="Arial" w:cs="Arial"/>
                <w:sz w:val="20"/>
                <w:szCs w:val="20"/>
              </w:rPr>
              <w:fldChar w:fldCharType="begin"/>
            </w:r>
            <w:r w:rsidR="00C46986">
              <w:rPr>
                <w:rFonts w:ascii="Arial" w:hAnsi="Arial" w:cs="Arial"/>
                <w:sz w:val="20"/>
                <w:szCs w:val="20"/>
                <w:lang w:val="en-US"/>
              </w:rPr>
              <w:instrText xml:space="preserve"> ADDIN ZOTERO_ITEM CSL_CITATION {"citationID":"nex2XoBA","properties":{"unsorted":false,"formattedCitation":"[26]","plainCitation":"[26]","noteIndex":0},"citationItems":[{"id":205,"uris":["http://zotero.org/users/local/YIAzD8Xc/items/675JDF34"],"itemData":{"id":205,"type":"webpage","language":"en","title":"Department of Justice | Drug Enforcement Administration | United States Department of Justice","URL":"https://www.justice.gov/doj/organization-mission-and-functions-manual-drug-enforcement-administration","accessed":{"date-parts":[["2026",4,5]]},"issued":{"date-parts":[["2022",12,6]]}}}],"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lang w:val="en-US"/>
              </w:rPr>
              <w:t>[26]</w:t>
            </w:r>
            <w:r w:rsidRPr="004B6EC4">
              <w:rPr>
                <w:rFonts w:ascii="Arial" w:hAnsi="Arial" w:cs="Arial"/>
                <w:sz w:val="20"/>
                <w:szCs w:val="20"/>
              </w:rPr>
              <w:fldChar w:fldCharType="end"/>
            </w:r>
          </w:p>
        </w:tc>
      </w:tr>
      <w:tr w:rsidR="000F077A" w:rsidRPr="00163773" w14:paraId="7854E7C0" w14:textId="77777777" w:rsidTr="00BE2B9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B0007F2" w14:textId="77777777" w:rsidR="000F077A" w:rsidRPr="004B6EC4" w:rsidRDefault="000F077A" w:rsidP="00BE2B99">
            <w:pPr>
              <w:rPr>
                <w:rFonts w:ascii="Arial" w:hAnsi="Arial" w:cs="Arial"/>
                <w:sz w:val="20"/>
                <w:szCs w:val="20"/>
              </w:rPr>
            </w:pPr>
            <w:r w:rsidRPr="004B6EC4">
              <w:rPr>
                <w:rFonts w:ascii="Arial" w:hAnsi="Arial" w:cs="Arial"/>
                <w:sz w:val="20"/>
                <w:szCs w:val="20"/>
              </w:rPr>
              <w:t>Canadá</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B3D8D1B" w14:textId="77777777" w:rsidR="000F077A" w:rsidRPr="004B6EC4" w:rsidRDefault="000F077A" w:rsidP="00BE2B99">
            <w:pPr>
              <w:rPr>
                <w:rFonts w:ascii="Arial" w:hAnsi="Arial" w:cs="Arial"/>
                <w:sz w:val="20"/>
                <w:szCs w:val="20"/>
              </w:rPr>
            </w:pPr>
            <w:r w:rsidRPr="004B6EC4">
              <w:rPr>
                <w:rFonts w:ascii="Arial" w:hAnsi="Arial" w:cs="Arial"/>
                <w:sz w:val="20"/>
                <w:szCs w:val="20"/>
              </w:rPr>
              <w:t>Ilegal bajo la Ley de Drogas y Sustancias Controladas; permisos excepcionales para terapia psicodélica.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235B1582" w14:textId="777AFDDE" w:rsidR="000F077A" w:rsidRPr="004B6EC4" w:rsidRDefault="000F077A" w:rsidP="00BE2B99">
            <w:pPr>
              <w:rPr>
                <w:rFonts w:ascii="Arial" w:hAnsi="Arial" w:cs="Arial"/>
                <w:sz w:val="20"/>
                <w:szCs w:val="20"/>
                <w:lang w:val="en-US"/>
              </w:rPr>
            </w:pPr>
            <w:r w:rsidRPr="004B6EC4">
              <w:rPr>
                <w:rFonts w:ascii="Arial" w:hAnsi="Arial" w:cs="Arial"/>
                <w:sz w:val="20"/>
                <w:szCs w:val="20"/>
                <w:lang w:val="en-US"/>
              </w:rPr>
              <w:t xml:space="preserve">Health Canada: Controlled Drugs and Substances Act </w:t>
            </w:r>
            <w:r w:rsidRPr="004B6EC4">
              <w:rPr>
                <w:rFonts w:ascii="Arial" w:hAnsi="Arial" w:cs="Arial"/>
                <w:b/>
                <w:bCs/>
                <w:sz w:val="20"/>
                <w:szCs w:val="20"/>
                <w:lang w:val="en-US"/>
              </w:rPr>
              <w:t xml:space="preserve"> </w:t>
            </w:r>
            <w:r w:rsidRPr="004B6EC4">
              <w:rPr>
                <w:rFonts w:ascii="Arial" w:hAnsi="Arial" w:cs="Arial"/>
                <w:b/>
                <w:bCs/>
                <w:sz w:val="20"/>
                <w:szCs w:val="20"/>
              </w:rPr>
              <w:fldChar w:fldCharType="begin"/>
            </w:r>
            <w:r w:rsidR="00C46986">
              <w:rPr>
                <w:rFonts w:ascii="Arial" w:hAnsi="Arial" w:cs="Arial"/>
                <w:b/>
                <w:bCs/>
                <w:sz w:val="20"/>
                <w:szCs w:val="20"/>
                <w:lang w:val="en-US"/>
              </w:rPr>
              <w:instrText xml:space="preserve"> ADDIN ZOTERO_ITEM CSL_CITATION {"citationID":"cc9yHFwB","properties":{"unsorted":false,"formattedCitation":"[27]","plainCitation":"[27]","noteIndex":0},"citationItems":[{"id":207,"uris":["http://zotero.org/users/local/YIAzD8Xc/items/4HCL3PM5"],"itemData":{"id":207,"type":"webpage","abstract":"Role of the Office of Controlled Substances (OCS), Health Canada, regarding controlled drugs and substances, with links to information on licensing, legislation, physical security requirements, test kit registration, and loss or theft","language":"eng","note":"Last Modified: 2025-12-17","title":"Controlled substances","URL":"https://www.canada.ca/en/health-canada/services/health-concerns/controlled-substances-precursor-chemicals/controlled-substances.html","author":[{"family":"Canada","given":"Health"}],"accessed":{"date-parts":[["2026",4,5]]},"issued":{"date-parts":[["2004",7,26]]}}}],"schema":"https://github.com/citation-style-language/schema/raw/master/csl-citation.json"} </w:instrText>
            </w:r>
            <w:r w:rsidRPr="004B6EC4">
              <w:rPr>
                <w:rFonts w:ascii="Arial" w:hAnsi="Arial" w:cs="Arial"/>
                <w:b/>
                <w:bCs/>
                <w:sz w:val="20"/>
                <w:szCs w:val="20"/>
              </w:rPr>
              <w:fldChar w:fldCharType="separate"/>
            </w:r>
            <w:r w:rsidR="00C46986" w:rsidRPr="00C46986">
              <w:rPr>
                <w:rFonts w:ascii="Calibri" w:hAnsi="Calibri" w:cs="Calibri"/>
                <w:sz w:val="20"/>
                <w:lang w:val="en-US"/>
              </w:rPr>
              <w:t>[27]</w:t>
            </w:r>
            <w:r w:rsidRPr="004B6EC4">
              <w:rPr>
                <w:rFonts w:ascii="Arial" w:hAnsi="Arial" w:cs="Arial"/>
                <w:b/>
                <w:bCs/>
                <w:sz w:val="20"/>
                <w:szCs w:val="20"/>
              </w:rPr>
              <w:fldChar w:fldCharType="end"/>
            </w:r>
            <w:r w:rsidRPr="004B6EC4">
              <w:rPr>
                <w:rFonts w:ascii="Arial" w:hAnsi="Arial" w:cs="Arial"/>
                <w:b/>
                <w:bCs/>
                <w:sz w:val="20"/>
                <w:szCs w:val="20"/>
                <w:lang w:val="en-US"/>
              </w:rPr>
              <w:t xml:space="preserve"> </w:t>
            </w:r>
          </w:p>
        </w:tc>
      </w:tr>
    </w:tbl>
    <w:p w14:paraId="6C4BB48C" w14:textId="77777777" w:rsidR="000F077A" w:rsidRPr="004B6EC4" w:rsidRDefault="000F077A" w:rsidP="000F077A">
      <w:pPr>
        <w:rPr>
          <w:rFonts w:ascii="Arial" w:hAnsi="Arial" w:cs="Arial"/>
          <w:sz w:val="20"/>
          <w:szCs w:val="20"/>
          <w:lang w:val="en-US"/>
        </w:rPr>
      </w:pPr>
    </w:p>
    <w:p w14:paraId="49E8614F" w14:textId="77777777" w:rsidR="00BE720C" w:rsidRPr="004B6EC4" w:rsidRDefault="00BE720C" w:rsidP="00BE720C">
      <w:pPr>
        <w:rPr>
          <w:rFonts w:ascii="Arial" w:hAnsi="Arial" w:cs="Arial"/>
          <w:b/>
          <w:bCs/>
          <w:sz w:val="20"/>
          <w:szCs w:val="20"/>
        </w:rPr>
      </w:pPr>
      <w:r w:rsidRPr="004B6EC4">
        <w:rPr>
          <w:rFonts w:ascii="Arial" w:hAnsi="Arial" w:cs="Arial"/>
          <w:b/>
          <w:bCs/>
          <w:sz w:val="20"/>
          <w:szCs w:val="20"/>
        </w:rPr>
        <w:t>El uso recreativo y otros usos sociales de la psilocibina</w:t>
      </w:r>
    </w:p>
    <w:p w14:paraId="72E9E67E" w14:textId="6EC91A7C" w:rsidR="00BE720C" w:rsidRPr="004B6EC4" w:rsidRDefault="00BE720C" w:rsidP="00BE720C">
      <w:pPr>
        <w:rPr>
          <w:rFonts w:ascii="Arial" w:hAnsi="Arial" w:cs="Arial"/>
          <w:sz w:val="20"/>
          <w:szCs w:val="20"/>
          <w:lang w:val="es-MX"/>
        </w:rPr>
      </w:pPr>
      <w:r w:rsidRPr="004B6EC4">
        <w:rPr>
          <w:rFonts w:ascii="Arial" w:hAnsi="Arial" w:cs="Arial"/>
          <w:sz w:val="20"/>
          <w:szCs w:val="20"/>
        </w:rPr>
        <w:t xml:space="preserve">El uso recreativo de la psilocibina se caracteriza por la búsqueda de experiencias placenteras y sensoriales, sin necesariamente tener objetivos terapéuticos o espirituales. Muchas personas consumen hongos psilocibios en ambientes sociales o festivales, donde los efectos incluyen alteraciones visuales, sensación de bienestar y una percepción intensificada de la música y el entorno. Además, la psilocibina puede provocar risas espontáneas y un estado de introspección, aunque es fundamental considerar los posibles riesgos asociados al consumo irresponsable. Sin acompaniamiento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SmuIwU6Y","properties":{"unsorted":false,"formattedCitation":"[28\\uc0\\u8211{}31]","plainCitation":"[28–31]","noteIndex":0},"citationItems":[{"id":20,"uris":["http://zotero.org/users/local/YIAzD8Xc/items/VBEL3HXV"],"itemData":{"id":20,"type":"article-journal","container-title":"Pharmacology &amp; Therapeutics","DOI":"10.1016/j.pharmthera.2018.11.010","ISSN":"01637258","journalAbbreviation":"Pharmacology &amp; Therapeutics","language":"en","page":"83-102","source":"DOI.org (Crossref)","title":"Classic psychedelics: An integrative review of epidemiology, therapeutics, mystical experience, and brain network function","title-short":"Classic psychedelics","volume":"197","author":[{"family":"Johnson","given":"Matthew W."},{"family":"Hendricks","given":"Peter S."},{"family":"Barrett","given":"Frederick S."},{"family":"Griffiths","given":"Roland R."}],"issued":{"date-parts":[["2019",5]]}}},{"id":249,"uris":["http://zotero.org/users/local/YIAzD8Xc/items/LSALHSYA","http://zotero.org/users/local/YIAzD8Xc/items/8UNNZS7U"],"itemData":{"id":249,"type":"article-journal","abstract":"BACKGROUND: Depression and anxiety are prevalent psychiatric disorders that carry significant morbidity. Pharmacological and psychosocial interventions are used to manage these conditions, but their efficacy is limited. Recent interest into the use of psychedelic-assisted therapy using ayahuasca, psilocybin or lysergic acid diethylamide (LSD) may be a promising alternative for patients unresponsive to traditional treatments. This review aims to determine the efficacy and tolerability of psychedelics in the management of resistant depression.\nMETHODS: Clinical trials investigating psychedelics in patients with depression and/or anxiety were searched via MEDLINE, EMBASE and PsychINFO. Efficacy was assessed by measuring symptom improvement from baseline, and tolerability was evaluated by noting the incidence and type of adverse effects reported. Risk of bias was assessed.\nRESULTS: Seven studies, with 130 patients, were analysed in this review. Three were conducted in patients with depression, two in patients with anxiety and two in patients with both. In a supportive setting, ayahuasca, psilocybin, and LSD consistently produced immediate and significant anti-depressant and anxiolytic effects that were endured for several months. Psychedelics were well-tolerated. The most common adverse effects were transient anxiety, short-lived headaches, nausea and mild increases in heart rate and blood pressure.\nLIMITATIONS: At present, the number of studies on this subject is very limited; and the number of participating patients within these is also limited as the treatment under investigations is a relatively novel concept.\nCONCLUSIONS: Though further evidence is required, psychedelics appear to be effective in significantly reducing symptoms of depression and anxiety and are well-tolerated.","container-title":"Journal of Affective Disorders","DOI":"10.1016/j.jad.2019.07.076","ISSN":"1573-2517","journalAbbreviation":"J Affect Disord","language":"eng","page":"11-24","PMID":"31382100","source":"PubMed","title":"Classical psychedelics for the treatment of depression and anxiety: A systematic review","title-short":"Classical psychedelics for the treatment of depression and anxiety","volume":"258","author":[{"family":"Muttoni","given":"Silvia"},{"family":"Ardissino","given":"Maddalena"},{"family":"John","given":"Christopher"}],"issued":{"date-parts":[["2019",11,1]]}}},{"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Jiménez","given":"Karla"}],"accessed":{"date-parts":[["2026",4,5]]},"issued":{"date-parts":[["2023"]]}}},{"id":32,"uris":["http://zotero.org/users/local/YIAzD8Xc/items/FDU78BPV"],"itemData":{"id":32,"type":"article-journal","abstract":"The potential for psilocybin, and other psychedelic drugs, to fulfil a much needed and potentially transformative class of psychiatric treatments has garnered significant attention. Consequently, there has been a great deal of interest and investment in accelerating its development and potential implementation in routine clinical practice. However, the expanding scope of scientific discovery, heightened media coverage, and commercial interests in the field risk outpacing the rate of developments in the necessary guidelines and infrastructure required for integration of psilocybin into clinical practice. The US National Network of Depression Centers (NNDC) Task Group on Psychedelics and Related Compounds—comprising psychiatrists, psychologists, neuroscientists, psychedelic researchers, and leaders in healthcare consulting affiliated with the NNDC—developed this consensus statement as a summary of clinical expertise and opinion on the matter, to recognise psilocybin’s therapeutic potential while also emphasising the need for further research and careful consideration before the integration of psilocybin into routine clinical care. We outline the current state of the science on psilocybin, incorporating articles published through April 2025. We identify key areas for further research and frame them within the context of therapeutic and ethical implications surrounding psilocybin’s use in future clinical practice. We highlight the need for further research to address gaps in understanding of therapeutic dosage, efficacy across diverse populations, and long-term safety. Finally, we propose an agenda which calls for diversification of funding, collaborative research efforts, standardised training for healthcare providers, and careful consideration of ethical dilemmas inherent in the theorised clinical use of psilocybin. Crucially, we advocate for a balanced approach that prioritises rigorous scientific standards while considering the urgency of the need for better treatment options, ensuring equitable access and safety as the field progresses. We acknowledge that the single-country focus of the NNDC may limit the generalisability of recommendations to international contexts with differing healthcare systems and regulatory landscapes.","container-title":"eClinicalMedicine","DOI":"10.1016/j.eclinm.2025.103517","ISSN":"25895370","journalAbbreviation":"eClinicalMedicine","language":"en","page":"103517","source":"DOI.org (Crossref)","title":"Considerations and cautions for the integration of psilocybin into routine clinical care: a consensus statement from the US National Network of Depression Centers' Task Group on Psychedelics and Related Compounds","title-short":"Considerations and cautions for the integration of psilocybin into routine clinical care","volume":"89","author":[{"family":"Hosein","given":"Megan M."},{"family":"Reid","given":"Matthew J."},{"family":"Walser","given":"Sarah"},{"family":"Charney","given":"Stuart"},{"family":"Fonzo","given":"Gregory A."},{"family":"Lewis","given":"Benjamin R."},{"family":"Yaden","given":"David B."},{"family":"Suppes","given":"Trisha"},{"family":"Cordner","given":"Zachary A."},{"family":"Barrett","given":"Frederick S."}],"issued":{"date-parts":[["2025",11]]}}}],"schema":"https://github.com/citation-style-language/schema/raw/master/csl-citation.json"}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kern w:val="0"/>
          <w:sz w:val="20"/>
        </w:rPr>
        <w:t>[28–31]</w:t>
      </w:r>
      <w:r w:rsidRPr="004B6EC4">
        <w:rPr>
          <w:rFonts w:ascii="Arial" w:hAnsi="Arial" w:cs="Arial"/>
          <w:sz w:val="20"/>
          <w:szCs w:val="20"/>
        </w:rPr>
        <w:fldChar w:fldCharType="end"/>
      </w:r>
      <w:r w:rsidRPr="004B6EC4">
        <w:rPr>
          <w:rFonts w:ascii="Arial" w:hAnsi="Arial" w:cs="Arial"/>
          <w:sz w:val="20"/>
          <w:szCs w:val="20"/>
          <w:lang w:val="es-MX"/>
        </w:rPr>
        <w:t xml:space="preserve"> </w:t>
      </w:r>
    </w:p>
    <w:p w14:paraId="123C64F7" w14:textId="57A65698" w:rsidR="00BE720C" w:rsidRPr="004B6EC4" w:rsidRDefault="00BE720C" w:rsidP="00BE720C">
      <w:pPr>
        <w:rPr>
          <w:rFonts w:ascii="Arial" w:hAnsi="Arial" w:cs="Arial"/>
          <w:b/>
          <w:bCs/>
          <w:sz w:val="20"/>
          <w:szCs w:val="20"/>
        </w:rPr>
      </w:pPr>
      <w:r w:rsidRPr="004B6EC4">
        <w:rPr>
          <w:rFonts w:ascii="Arial" w:hAnsi="Arial" w:cs="Arial"/>
          <w:sz w:val="20"/>
          <w:szCs w:val="20"/>
          <w:lang w:val="es-MX"/>
        </w:rPr>
        <w:t>El acompañamiento profesional en el uso social de la psilocibina es fundamental p</w:t>
      </w:r>
      <w:r w:rsidRPr="004B6EC4">
        <w:rPr>
          <w:rFonts w:ascii="Arial" w:hAnsi="Arial" w:cs="Arial"/>
          <w:sz w:val="20"/>
          <w:szCs w:val="20"/>
        </w:rPr>
        <w:t xml:space="preserve">ara asegurar una experiencia segura y enriquecedora. Este acompañamiento retoma principios similares a los que se observaban en el consumo ancestral de hongos, donde las ceremonias eran guiadas por personas con conocimiento profundo, como chamanes o curanderos, quienes ofrecían orientación y protección. Así como en tiempos antiguos se buscaba el bienestar y la integración comunitaria, hoy en día la presencia de expertos ayuda a prevenir riesgos, promover el respeto por la experiencia y favorecer el crecimiento personal y colectivo. </w:t>
      </w:r>
      <w:r w:rsidRPr="004B6EC4">
        <w:rPr>
          <w:rFonts w:ascii="Arial" w:hAnsi="Arial" w:cs="Arial"/>
          <w:sz w:val="20"/>
          <w:szCs w:val="20"/>
        </w:rPr>
        <w:fldChar w:fldCharType="begin"/>
      </w:r>
      <w:r w:rsidR="00C46986">
        <w:rPr>
          <w:rFonts w:ascii="Arial" w:hAnsi="Arial" w:cs="Arial"/>
          <w:sz w:val="20"/>
          <w:szCs w:val="20"/>
        </w:rPr>
        <w:instrText xml:space="preserve"> ADDIN ZOTERO_ITEM CSL_CITATION {"citationID":"NqFqOv0c","properties":{"unsorted":false,"formattedCitation":"[30, 32, 33]","plainCitation":"[30, 32, 33]","noteIndex":0},"citationItems":[{"id":62,"uris":["http://zotero.org/users/local/YIAzD8Xc/items/IXHC5TG2"],"itemData":{"id":62,"type":"article-journal","container-title":"Psychiatry Research","DOI":"10.1016/j.psychres.2023.115531","ISSN":"01651781","journalAbbreviation":"Psychiatry Research","language":"en","page":"115531","source":"DOI.org (Crossref)","title":"Psilocybin-assisted therapy for depression: A systematic review and meta-analysis","title-short":"Psilocybin-assisted therapy for depression","volume":"329","author":[{"family":"Haikazian","given":"Sipan"},{"family":"Chen-Li","given":"David C.J."},{"family":"Johnson","given":"Danica E."},{"family":"Fancy","given":"Farhan"},{"family":"Levinta","given":"Anastasia"},{"family":"Husain","given":"M. Ishrat"},{"family":"Mansur","given":"Rodrigo B."},{"family":"McIntyre","given":"Roger S."},{"family":"Rosenblat","given":"Joshua D."}],"issued":{"date-parts":[["2023",11]]}}},{"id":213,"uris":["http://zotero.org/users/local/YIAzD8Xc/items/26HYTK2P"],"itemData":{"id":213,"type":"article-journal","language":"spa","source":"ru.dgb.unam.mx","title":"Psicoterapia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id":281,"uris":["http://zotero.org/users/local/YIAzD8Xc/items/F5PUNGJW","http://zotero.org/users/local/YIAzD8Xc/items/A87557WK"],"itemData":{"id":281,"type":"article-journal","abstract":"BACKGROUND: Palliative Care is concerned with relieving suffering and improving the quality of life of patients and their families. Currently, questions arise about how to provide patients with good end-of-life care. There has been increasing interest in the beneficial effects of using psilocybin-assisted therapy in patients with severe chronic illnesses near the end of their lives and who present symptoms of depression and/or anxiety.\nAIM: Explore the role of psilocybin-assisted therapy in palliative care, synthesizing evidence from clinical trials and longitudinal studies.\nDESIGN: Systematic review.\nDATA SOURCES: A bibliographic search was performed in April 2024 in B-on, PubMed, Web of Science, and Scopus. Eligible studies included peer-reviewed quantitative research (RCTs, longitudinal, and observational designs) with adult participants in palliative care settings, examining the efficacy and safety of psilocybin-assisted therapy. Reviews, gray literature, and studies outside the scope of palliative care were excluded.\nRESULTS: Of the 215 articles found, six studies (n = 74 participants; age range 22-75 years) met the inclusion criteria. Across randomized and open-label trials, psilocybin-assisted therapy produced clinically significant reductions in depression and anxiety, with 57-79% of participants achieving </w:instrText>
      </w:r>
      <w:r w:rsidR="00C46986">
        <w:rPr>
          <w:rFonts w:ascii="Cambria Math" w:hAnsi="Cambria Math" w:cs="Cambria Math"/>
          <w:sz w:val="20"/>
          <w:szCs w:val="20"/>
        </w:rPr>
        <w:instrText>⩾</w:instrText>
      </w:r>
      <w:r w:rsidR="00C46986">
        <w:rPr>
          <w:rFonts w:ascii="Arial" w:hAnsi="Arial" w:cs="Arial"/>
          <w:sz w:val="20"/>
          <w:szCs w:val="20"/>
        </w:rPr>
        <w:instrText xml:space="preserve"> 50% symptom reduction on standardized scales (e.g. HAM-D, HAM-A, BDI, STAI). Improvements were sustained for up to 6-8 months in most trials, and in one follow-up study, for up to 4.5 years. Reported adverse effects were generally mild and transient, including nausea, vomiting, and temporary increases in blood pressure and heart rate; no serious adverse events were observed.\nCONCLUSIONS: Psilocybin-assisted therapy consistently demonstrated efficacy and safety in the reduction of depressive and anxiety symptoms. However, more studies exploring integrating psilocybin-assisted therapy into existing palliative care healthcare systems are needed. This includes investigating the feasibility, acceptability, and cost-effectiveness of integrating psilocybin-assisted therapy into routine clinical practice.","container-title":"Palliative Medicine","DOI":"10.1177/02692163251383335","ISSN":"1477-030X","issue":"1","journalAbbreviation":"Palliat Med","language":"eng","page":"7-20","PMID":"41410211","source":"PubMed","title":"Psilocybin-assisted therapy for individuals with palliative care needs: A systematic review of safety and efficacy","title-short":"Psilocybin-assisted therapy for individuals with palliative care needs","volume":"40","author":[{"family":"Matos","given":"Ana Rita Sousa"},{"family":"Silva","given":"Ana Catarina"},{"family":"Rego","given":"Licínio"},{"family":"Fernandes","given":"Rui"},{"family":"Gonçalves","given":"Sara"}],"issued":{"date-parts":[["2026",1]]}}}],"schema":"https://github.com/citation-style-language/schema/raw/master/csl-citation.json"} </w:instrText>
      </w:r>
      <w:r w:rsidRPr="004B6EC4">
        <w:rPr>
          <w:rFonts w:ascii="Arial" w:hAnsi="Arial" w:cs="Arial"/>
          <w:sz w:val="20"/>
          <w:szCs w:val="20"/>
        </w:rPr>
        <w:fldChar w:fldCharType="separate"/>
      </w:r>
      <w:r w:rsidR="00C46986" w:rsidRPr="00C46986">
        <w:rPr>
          <w:rFonts w:ascii="Calibri" w:hAnsi="Calibri" w:cs="Calibri"/>
          <w:sz w:val="20"/>
        </w:rPr>
        <w:t>[30, 32, 33]</w:t>
      </w:r>
      <w:r w:rsidRPr="004B6EC4">
        <w:rPr>
          <w:rFonts w:ascii="Arial" w:hAnsi="Arial" w:cs="Arial"/>
          <w:sz w:val="20"/>
          <w:szCs w:val="20"/>
        </w:rPr>
        <w:fldChar w:fldCharType="end"/>
      </w:r>
      <w:r w:rsidRPr="004B6EC4">
        <w:rPr>
          <w:rFonts w:ascii="Arial" w:hAnsi="Arial" w:cs="Arial"/>
          <w:b/>
          <w:bCs/>
          <w:sz w:val="20"/>
          <w:szCs w:val="20"/>
        </w:rPr>
        <w:t xml:space="preserve"> </w:t>
      </w:r>
    </w:p>
    <w:p w14:paraId="2F5A4C2E" w14:textId="77777777" w:rsidR="000F077A" w:rsidRPr="004B6EC4" w:rsidRDefault="000F077A" w:rsidP="000F077A">
      <w:pPr>
        <w:rPr>
          <w:rFonts w:ascii="Arial" w:hAnsi="Arial" w:cs="Arial"/>
          <w:sz w:val="20"/>
          <w:szCs w:val="20"/>
        </w:rPr>
      </w:pPr>
    </w:p>
    <w:p w14:paraId="631AA702" w14:textId="77777777" w:rsidR="000F077A" w:rsidRPr="004B6EC4" w:rsidRDefault="000F077A" w:rsidP="00034DA0">
      <w:pPr>
        <w:rPr>
          <w:rFonts w:ascii="Arial" w:hAnsi="Arial" w:cs="Arial"/>
          <w:b/>
          <w:bCs/>
          <w:sz w:val="20"/>
          <w:szCs w:val="20"/>
        </w:rPr>
      </w:pPr>
    </w:p>
    <w:p w14:paraId="4CFC3052" w14:textId="1FE4F5DA" w:rsidR="00FA66AC" w:rsidRPr="004B6EC4" w:rsidRDefault="00FA66AC" w:rsidP="00FA66AC">
      <w:pPr>
        <w:rPr>
          <w:sz w:val="20"/>
          <w:szCs w:val="20"/>
        </w:rPr>
      </w:pPr>
      <w:r w:rsidRPr="004B6EC4">
        <w:rPr>
          <w:sz w:val="20"/>
          <w:szCs w:val="20"/>
        </w:rPr>
        <w:tab/>
      </w:r>
      <w:r w:rsidRPr="004B6EC4">
        <w:rPr>
          <w:sz w:val="20"/>
          <w:szCs w:val="20"/>
        </w:rPr>
        <w:tab/>
      </w:r>
    </w:p>
    <w:p w14:paraId="1769D1A6" w14:textId="77777777" w:rsidR="00FA66AC" w:rsidRPr="004B6EC4" w:rsidRDefault="00FA66AC" w:rsidP="00C11581">
      <w:pPr>
        <w:rPr>
          <w:rFonts w:ascii="Arial" w:hAnsi="Arial" w:cs="Arial"/>
          <w:b/>
          <w:bCs/>
          <w:sz w:val="20"/>
          <w:szCs w:val="20"/>
        </w:rPr>
      </w:pPr>
    </w:p>
    <w:p w14:paraId="0705E9BA" w14:textId="77777777" w:rsidR="00034DA0" w:rsidRPr="004B6EC4" w:rsidRDefault="00034DA0" w:rsidP="00C11581">
      <w:pPr>
        <w:rPr>
          <w:rFonts w:ascii="Arial" w:hAnsi="Arial" w:cs="Arial"/>
          <w:sz w:val="20"/>
          <w:szCs w:val="20"/>
        </w:rPr>
      </w:pPr>
    </w:p>
    <w:p w14:paraId="4BE0467C" w14:textId="77777777" w:rsidR="00C11581" w:rsidRPr="004B6EC4" w:rsidRDefault="00C11581" w:rsidP="00C11581">
      <w:pPr>
        <w:rPr>
          <w:rFonts w:ascii="Arial" w:hAnsi="Arial" w:cs="Arial"/>
          <w:b/>
          <w:bCs/>
          <w:sz w:val="20"/>
          <w:szCs w:val="20"/>
        </w:rPr>
      </w:pPr>
    </w:p>
    <w:p w14:paraId="43E75609" w14:textId="77777777" w:rsidR="00C11581" w:rsidRPr="004B6EC4" w:rsidRDefault="00C11581" w:rsidP="00C11581">
      <w:pPr>
        <w:rPr>
          <w:rFonts w:ascii="Arial" w:hAnsi="Arial" w:cs="Arial"/>
          <w:b/>
          <w:bCs/>
          <w:sz w:val="20"/>
          <w:szCs w:val="20"/>
        </w:rPr>
      </w:pPr>
    </w:p>
    <w:p w14:paraId="3E548CF6" w14:textId="77777777" w:rsidR="008958EC" w:rsidRPr="004B6EC4" w:rsidRDefault="008958EC" w:rsidP="00C11581">
      <w:pPr>
        <w:rPr>
          <w:rFonts w:ascii="Arial" w:hAnsi="Arial" w:cs="Arial"/>
          <w:b/>
          <w:bCs/>
          <w:sz w:val="20"/>
          <w:szCs w:val="20"/>
        </w:rPr>
      </w:pPr>
    </w:p>
    <w:p w14:paraId="7FD299B7" w14:textId="77777777" w:rsidR="00B175E4" w:rsidRPr="004B6EC4" w:rsidRDefault="00B175E4" w:rsidP="00C11581">
      <w:pPr>
        <w:rPr>
          <w:rFonts w:ascii="Arial" w:hAnsi="Arial" w:cs="Arial"/>
          <w:sz w:val="20"/>
          <w:szCs w:val="20"/>
        </w:rPr>
      </w:pPr>
    </w:p>
    <w:p w14:paraId="01AF7919" w14:textId="77777777" w:rsidR="00BE7770" w:rsidRPr="004B6EC4" w:rsidRDefault="00BE7770" w:rsidP="0002664C">
      <w:pPr>
        <w:rPr>
          <w:rFonts w:ascii="Arial" w:hAnsi="Arial" w:cs="Arial"/>
          <w:sz w:val="20"/>
          <w:szCs w:val="20"/>
        </w:rPr>
      </w:pPr>
    </w:p>
    <w:p w14:paraId="0493481D" w14:textId="77777777" w:rsidR="00BE7770" w:rsidRPr="004B6EC4" w:rsidRDefault="00BE7770" w:rsidP="0002664C">
      <w:pPr>
        <w:rPr>
          <w:rFonts w:ascii="Arial" w:hAnsi="Arial" w:cs="Arial"/>
          <w:sz w:val="20"/>
          <w:szCs w:val="20"/>
        </w:rPr>
      </w:pPr>
    </w:p>
    <w:p w14:paraId="04480377" w14:textId="77777777" w:rsidR="00BE7770" w:rsidRPr="004B6EC4" w:rsidRDefault="00BE7770" w:rsidP="0002664C">
      <w:pPr>
        <w:rPr>
          <w:rFonts w:ascii="Arial" w:hAnsi="Arial" w:cs="Arial"/>
          <w:sz w:val="20"/>
          <w:szCs w:val="20"/>
        </w:rPr>
      </w:pPr>
    </w:p>
    <w:p w14:paraId="3ECC6FF9" w14:textId="77777777" w:rsidR="00BE7770" w:rsidRPr="004B6EC4" w:rsidRDefault="00BE7770" w:rsidP="0002664C">
      <w:pPr>
        <w:rPr>
          <w:rFonts w:ascii="Arial" w:hAnsi="Arial" w:cs="Arial"/>
          <w:sz w:val="20"/>
          <w:szCs w:val="20"/>
        </w:rPr>
      </w:pPr>
    </w:p>
    <w:p w14:paraId="7B4306F1" w14:textId="77777777" w:rsidR="00BE7770" w:rsidRPr="004B6EC4" w:rsidRDefault="00BE7770" w:rsidP="0002664C">
      <w:pPr>
        <w:rPr>
          <w:rFonts w:ascii="Arial" w:hAnsi="Arial" w:cs="Arial"/>
          <w:sz w:val="20"/>
          <w:szCs w:val="20"/>
        </w:rPr>
      </w:pPr>
    </w:p>
    <w:p w14:paraId="046E10A7" w14:textId="77777777" w:rsidR="00BE7770" w:rsidRPr="004B6EC4" w:rsidRDefault="00BE7770" w:rsidP="0002664C">
      <w:pPr>
        <w:rPr>
          <w:rFonts w:ascii="Arial" w:hAnsi="Arial" w:cs="Arial"/>
          <w:sz w:val="20"/>
          <w:szCs w:val="20"/>
        </w:rPr>
      </w:pPr>
    </w:p>
    <w:p w14:paraId="3E75156A" w14:textId="77777777" w:rsidR="00BE7770" w:rsidRPr="004B6EC4" w:rsidRDefault="00BE7770" w:rsidP="0002664C">
      <w:pPr>
        <w:rPr>
          <w:rFonts w:ascii="Arial" w:hAnsi="Arial" w:cs="Arial"/>
          <w:sz w:val="20"/>
          <w:szCs w:val="20"/>
        </w:rPr>
      </w:pPr>
    </w:p>
    <w:p w14:paraId="5D7C5587" w14:textId="77777777" w:rsidR="00BE7770" w:rsidRPr="004B6EC4" w:rsidRDefault="00BE7770" w:rsidP="0002664C">
      <w:pPr>
        <w:rPr>
          <w:rFonts w:ascii="Arial" w:hAnsi="Arial" w:cs="Arial"/>
          <w:sz w:val="20"/>
          <w:szCs w:val="20"/>
        </w:rPr>
      </w:pPr>
    </w:p>
    <w:p w14:paraId="7FD79F3D" w14:textId="77777777" w:rsidR="00BE7770" w:rsidRPr="004B6EC4" w:rsidRDefault="00BE7770" w:rsidP="0002664C">
      <w:pPr>
        <w:rPr>
          <w:rFonts w:ascii="Arial" w:hAnsi="Arial" w:cs="Arial"/>
          <w:sz w:val="20"/>
          <w:szCs w:val="20"/>
        </w:rPr>
      </w:pPr>
    </w:p>
    <w:p w14:paraId="6C4996AC" w14:textId="77777777" w:rsidR="00BE7770" w:rsidRPr="004B6EC4" w:rsidRDefault="00BE7770" w:rsidP="0002664C">
      <w:pPr>
        <w:rPr>
          <w:rFonts w:ascii="Arial" w:hAnsi="Arial" w:cs="Arial"/>
          <w:sz w:val="20"/>
          <w:szCs w:val="20"/>
        </w:rPr>
      </w:pPr>
    </w:p>
    <w:p w14:paraId="7A20A88B" w14:textId="77777777" w:rsidR="00BE7770" w:rsidRPr="004B6EC4" w:rsidRDefault="00BE7770" w:rsidP="0002664C">
      <w:pPr>
        <w:rPr>
          <w:rFonts w:ascii="Arial" w:hAnsi="Arial" w:cs="Arial"/>
          <w:sz w:val="20"/>
          <w:szCs w:val="20"/>
        </w:rPr>
      </w:pPr>
    </w:p>
    <w:p w14:paraId="5502A06C" w14:textId="77777777" w:rsidR="00BE7770" w:rsidRPr="004B6EC4" w:rsidRDefault="00BE7770" w:rsidP="0002664C">
      <w:pPr>
        <w:rPr>
          <w:rFonts w:ascii="Arial" w:hAnsi="Arial" w:cs="Arial"/>
          <w:sz w:val="20"/>
          <w:szCs w:val="20"/>
        </w:rPr>
      </w:pPr>
    </w:p>
    <w:p w14:paraId="573500A1" w14:textId="77777777" w:rsidR="00BE7770" w:rsidRPr="004B6EC4" w:rsidRDefault="00BE7770" w:rsidP="0002664C">
      <w:pPr>
        <w:rPr>
          <w:rFonts w:ascii="Arial" w:hAnsi="Arial" w:cs="Arial"/>
          <w:sz w:val="20"/>
          <w:szCs w:val="20"/>
        </w:rPr>
      </w:pPr>
    </w:p>
    <w:p w14:paraId="0E389A94" w14:textId="77777777" w:rsidR="00BE7770" w:rsidRPr="004B6EC4" w:rsidRDefault="00BE7770" w:rsidP="0002664C">
      <w:pPr>
        <w:rPr>
          <w:rFonts w:ascii="Arial" w:hAnsi="Arial" w:cs="Arial"/>
          <w:sz w:val="20"/>
          <w:szCs w:val="20"/>
        </w:rPr>
      </w:pPr>
    </w:p>
    <w:p w14:paraId="0013CEA3" w14:textId="77777777" w:rsidR="00BE7770" w:rsidRPr="004B6EC4" w:rsidRDefault="00BE7770" w:rsidP="0002664C">
      <w:pPr>
        <w:rPr>
          <w:rFonts w:ascii="Arial" w:hAnsi="Arial" w:cs="Arial"/>
          <w:sz w:val="20"/>
          <w:szCs w:val="20"/>
        </w:rPr>
      </w:pPr>
    </w:p>
    <w:p w14:paraId="5A7F9C0D" w14:textId="77777777" w:rsidR="00BE7770" w:rsidRPr="004B6EC4" w:rsidRDefault="00BE7770" w:rsidP="0002664C">
      <w:pPr>
        <w:rPr>
          <w:rFonts w:ascii="Arial" w:hAnsi="Arial" w:cs="Arial"/>
          <w:sz w:val="20"/>
          <w:szCs w:val="20"/>
        </w:rPr>
      </w:pPr>
    </w:p>
    <w:p w14:paraId="4C6A7BF0" w14:textId="77777777" w:rsidR="00BE7770" w:rsidRPr="004B6EC4" w:rsidRDefault="00BE7770" w:rsidP="0002664C">
      <w:pPr>
        <w:rPr>
          <w:rFonts w:ascii="Arial" w:hAnsi="Arial" w:cs="Arial"/>
          <w:sz w:val="20"/>
          <w:szCs w:val="20"/>
        </w:rPr>
      </w:pPr>
    </w:p>
    <w:p w14:paraId="67BFC06F" w14:textId="77777777" w:rsidR="00D978AE" w:rsidRPr="004B6EC4" w:rsidRDefault="00D978AE" w:rsidP="00D978AE">
      <w:pPr>
        <w:rPr>
          <w:rFonts w:ascii="Arial" w:hAnsi="Arial" w:cs="Arial"/>
          <w:sz w:val="20"/>
          <w:szCs w:val="20"/>
        </w:rPr>
      </w:pPr>
    </w:p>
    <w:p w14:paraId="31B8ED48" w14:textId="77777777" w:rsidR="00BC1F76" w:rsidRPr="00407F4B" w:rsidRDefault="002A13DB" w:rsidP="00BC1F76">
      <w:pPr>
        <w:pStyle w:val="Bibliografa"/>
        <w:rPr>
          <w:rFonts w:ascii="Calibri" w:hAnsi="Calibri" w:cs="Calibri"/>
          <w:kern w:val="0"/>
        </w:rPr>
      </w:pPr>
      <w:r w:rsidRPr="004B6EC4">
        <w:fldChar w:fldCharType="begin"/>
      </w:r>
      <w:r w:rsidR="007130C3" w:rsidRPr="00407F4B">
        <w:instrText xml:space="preserve"> ADDIN ZOTERO_BIBL {"uncited":[],"omitted":[],"custom":[[["http://zotero.org/users/local/YIAzD8Xc/items/BKGG2J26","http://zotero.org/users/local/YIAzD8Xc/items/VEELBQBJ"],"[17] \\tab{}Wasson RG. Seeking the Magic Mushroom. Life Magazine. 1957;May:100-110Cuttersguide.com.\n[citado el 1 de abril de 2026]. Disponible en:\nhttps://www.cuttersguide.com/pdf/Periodical-Publications/life-by-time-inc-published-may-13-1957.pdf"],[["http://zotero.org/users/local/YIAzD8Xc/items/RYUNNMR7"],"[19] \\tab{}Leary T, Dass R, Metzner R. The psychedelic experience. 1964 [citado el 1 de\nabril de 2026]; Disponible en:\nhttps://www.leathersmithe.com/politicshandcraftsenvironme/the-psychedelic-experience.pdf"],[["http://zotero.org/users/local/YIAzD8Xc/items/BTYP6SHL"],"[24] \\tab{}C\\uc0\\u243{}digo Penal Federal.\\uc0\\u160{}Nuevo C\\uc0\\u243{}digo Publicado en el Diario Oficial de la F el. C\\uc0\\u211{}DIGO PENAL\nFEDERAL [Internet]. Gob.mx. [citado el 14 de septiembre de 2025]. Disponible\nen: https://www.diputados.gob.mx/LeyesBiblio/pdf/CPF.pdf"]]} CSL_BIBLIOGRAPHY </w:instrText>
      </w:r>
      <w:r w:rsidRPr="004B6EC4">
        <w:fldChar w:fldCharType="separate"/>
      </w:r>
      <w:r w:rsidR="00BC1F76" w:rsidRPr="00407F4B">
        <w:rPr>
          <w:rFonts w:ascii="Calibri" w:hAnsi="Calibri" w:cs="Calibri"/>
          <w:kern w:val="0"/>
        </w:rPr>
        <w:t xml:space="preserve">[1] </w:t>
      </w:r>
      <w:r w:rsidR="00BC1F76" w:rsidRPr="00407F4B">
        <w:rPr>
          <w:rFonts w:ascii="Calibri" w:hAnsi="Calibri" w:cs="Calibri"/>
          <w:kern w:val="0"/>
        </w:rPr>
        <w:tab/>
        <w:t>World health organization. Trastorno depresivo (depresión), https://www.who.int/es/news-room/fact-sheets/detail/depression (accessed 3 November 2025).</w:t>
      </w:r>
    </w:p>
    <w:p w14:paraId="1E73A9AB" w14:textId="77777777" w:rsidR="00BC1F76" w:rsidRPr="00407F4B" w:rsidRDefault="00BC1F76" w:rsidP="00BC1F76">
      <w:pPr>
        <w:pStyle w:val="Bibliografa"/>
        <w:rPr>
          <w:rFonts w:ascii="Calibri" w:hAnsi="Calibri" w:cs="Calibri"/>
          <w:kern w:val="0"/>
        </w:rPr>
      </w:pPr>
      <w:r w:rsidRPr="00407F4B">
        <w:rPr>
          <w:rFonts w:ascii="Calibri" w:hAnsi="Calibri" w:cs="Calibri"/>
          <w:kern w:val="0"/>
        </w:rPr>
        <w:t xml:space="preserve">[2] </w:t>
      </w:r>
      <w:r w:rsidRPr="00407F4B">
        <w:rPr>
          <w:rFonts w:ascii="Calibri" w:hAnsi="Calibri" w:cs="Calibri"/>
          <w:kern w:val="0"/>
        </w:rPr>
        <w:tab/>
        <w:t>World health organization. Trastornos de ansiedad, https://www.who.int/es/news-room/fact-sheets/detail/anxiety-disorders (accessed 3 November 2025).</w:t>
      </w:r>
    </w:p>
    <w:p w14:paraId="5640C12D"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lastRenderedPageBreak/>
        <w:t xml:space="preserve">[3] </w:t>
      </w:r>
      <w:r w:rsidRPr="00BC1F76">
        <w:rPr>
          <w:rFonts w:ascii="Calibri" w:hAnsi="Calibri" w:cs="Calibri"/>
          <w:kern w:val="0"/>
        </w:rPr>
        <w:tab/>
        <w:t>Informe mundial sobre salud mental: Transformar la salud mental para todos, https://www.who.int/es/publications/i/item/9789240050860 (accessed 3 April 2026).</w:t>
      </w:r>
    </w:p>
    <w:p w14:paraId="0D3FB873"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[4] </w:t>
      </w:r>
      <w:r w:rsidRPr="00BC1F76">
        <w:rPr>
          <w:rFonts w:ascii="Calibri" w:hAnsi="Calibri" w:cs="Calibri"/>
          <w:kern w:val="0"/>
        </w:rPr>
        <w:tab/>
        <w:t xml:space="preserve">CONASAMA. Informe sobre la Situación de la salud mental y el consumo de sustancias en México. </w:t>
      </w:r>
      <w:r w:rsidRPr="00BC1F76">
        <w:rPr>
          <w:rFonts w:ascii="Calibri" w:hAnsi="Calibri" w:cs="Calibri"/>
          <w:i/>
          <w:iCs/>
          <w:kern w:val="0"/>
        </w:rPr>
        <w:t>gob.mx</w:t>
      </w:r>
      <w:r w:rsidRPr="00BC1F76">
        <w:rPr>
          <w:rFonts w:ascii="Calibri" w:hAnsi="Calibri" w:cs="Calibri"/>
          <w:kern w:val="0"/>
        </w:rPr>
        <w:t>, http://www.gob.mx/conasama/documentos/informe-sobre-la-situacion-de-la-salud-mental-y-el-consumo-de-sustancias-en-mexico (accessed 7 April 2026).</w:t>
      </w:r>
    </w:p>
    <w:p w14:paraId="6093CE85"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[5] </w:t>
      </w:r>
      <w:r w:rsidRPr="00BC1F76">
        <w:rPr>
          <w:rFonts w:ascii="Calibri" w:hAnsi="Calibri" w:cs="Calibri"/>
          <w:kern w:val="0"/>
        </w:rPr>
        <w:tab/>
        <w:t>Solís Aranda MT. Factores que inciden en el abandono del tratamiento farmacológico de los trastornos de ansiedad generalizada y trastornos depresivos mayores en los habitantes de la localidad de San Martín Cuautlalpan en el municipio de Chalco de Díaz Covarrubias, Estado de México, https://repositorio.xoc.uam.mx/jspui/handle/123456789/26444 (2022, accessed 7 April 2026).</w:t>
      </w:r>
    </w:p>
    <w:p w14:paraId="2166ADBE"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[6] </w:t>
      </w:r>
      <w:r w:rsidRPr="00BC1F76">
        <w:rPr>
          <w:rFonts w:ascii="Calibri" w:hAnsi="Calibri" w:cs="Calibri"/>
          <w:kern w:val="0"/>
        </w:rPr>
        <w:tab/>
        <w:t xml:space="preserve">Martinez W, Galván J, Saavedra N, et al. </w:t>
      </w:r>
      <w:r w:rsidRPr="00497BD8">
        <w:rPr>
          <w:rFonts w:ascii="Calibri" w:hAnsi="Calibri" w:cs="Calibri"/>
          <w:kern w:val="0"/>
          <w:lang w:val="en-US"/>
        </w:rPr>
        <w:t xml:space="preserve">Barriers to Integrating Mental Health Services in Community-Based Primary Care Settings in Mexico City: A Qualitative Analysis. </w:t>
      </w:r>
      <w:r w:rsidRPr="00BC1F76">
        <w:rPr>
          <w:rFonts w:ascii="Calibri" w:hAnsi="Calibri" w:cs="Calibri"/>
          <w:i/>
          <w:iCs/>
          <w:kern w:val="0"/>
        </w:rPr>
        <w:t>PS</w:t>
      </w:r>
      <w:r w:rsidRPr="00BC1F76">
        <w:rPr>
          <w:rFonts w:ascii="Calibri" w:hAnsi="Calibri" w:cs="Calibri"/>
          <w:kern w:val="0"/>
        </w:rPr>
        <w:t xml:space="preserve"> 2017; 68: 497–502.</w:t>
      </w:r>
    </w:p>
    <w:p w14:paraId="7B241B4D" w14:textId="77777777" w:rsidR="00BC1F76" w:rsidRPr="00497BD8" w:rsidRDefault="00BC1F76" w:rsidP="00BC1F76">
      <w:pPr>
        <w:pStyle w:val="Bibliografa"/>
        <w:rPr>
          <w:rFonts w:ascii="Calibri" w:hAnsi="Calibri" w:cs="Calibri"/>
          <w:kern w:val="0"/>
          <w:lang w:val="en-US"/>
        </w:rPr>
      </w:pPr>
      <w:r w:rsidRPr="00BC1F76">
        <w:rPr>
          <w:rFonts w:ascii="Calibri" w:hAnsi="Calibri" w:cs="Calibri"/>
          <w:kern w:val="0"/>
        </w:rPr>
        <w:t xml:space="preserve">[7] </w:t>
      </w:r>
      <w:r w:rsidRPr="00BC1F76">
        <w:rPr>
          <w:rFonts w:ascii="Calibri" w:hAnsi="Calibri" w:cs="Calibri"/>
          <w:kern w:val="0"/>
        </w:rPr>
        <w:tab/>
        <w:t xml:space="preserve">Magar V, Robbins M, Fernández (Lobo Blanco) ÓML, et al. </w:t>
      </w:r>
      <w:r w:rsidRPr="00497BD8">
        <w:rPr>
          <w:rFonts w:ascii="Calibri" w:hAnsi="Calibri" w:cs="Calibri"/>
          <w:kern w:val="0"/>
          <w:lang w:val="en-US"/>
        </w:rPr>
        <w:t xml:space="preserve">Indigenous Knowledge Systems &amp; Psychedelic Science: Towards Ethical and Reciprocal Collaboration. </w:t>
      </w:r>
      <w:r w:rsidRPr="00497BD8">
        <w:rPr>
          <w:rFonts w:ascii="Calibri" w:hAnsi="Calibri" w:cs="Calibri"/>
          <w:i/>
          <w:iCs/>
          <w:kern w:val="0"/>
          <w:lang w:val="en-US"/>
        </w:rPr>
        <w:t>J Psychopharmacol</w:t>
      </w:r>
      <w:r w:rsidRPr="00497BD8">
        <w:rPr>
          <w:rFonts w:ascii="Calibri" w:hAnsi="Calibri" w:cs="Calibri"/>
          <w:kern w:val="0"/>
          <w:lang w:val="en-US"/>
        </w:rPr>
        <w:t xml:space="preserve"> 2026; 02698811251387104.</w:t>
      </w:r>
    </w:p>
    <w:p w14:paraId="33384B8A" w14:textId="77777777" w:rsidR="00BC1F76" w:rsidRPr="00BC1F76" w:rsidRDefault="00BC1F76" w:rsidP="00BC1F76">
      <w:pPr>
        <w:pStyle w:val="Bibliografa"/>
        <w:rPr>
          <w:rFonts w:ascii="Calibri" w:hAnsi="Calibri" w:cs="Calibri"/>
          <w:kern w:val="0"/>
        </w:rPr>
      </w:pPr>
      <w:r w:rsidRPr="00497BD8">
        <w:rPr>
          <w:rFonts w:ascii="Calibri" w:hAnsi="Calibri" w:cs="Calibri"/>
          <w:kern w:val="0"/>
          <w:lang w:val="en-US"/>
        </w:rPr>
        <w:t xml:space="preserve">[8] </w:t>
      </w:r>
      <w:r w:rsidRPr="00497BD8">
        <w:rPr>
          <w:rFonts w:ascii="Calibri" w:hAnsi="Calibri" w:cs="Calibri"/>
          <w:kern w:val="0"/>
          <w:lang w:val="en-US"/>
        </w:rPr>
        <w:tab/>
        <w:t xml:space="preserve">Kopra EI, Ferris JA, Winstock AR, et al. Investigation of self-treatment with lysergic acid diethylamide and psilocybin mushrooms: Findings from the Global Drug Survey 2020. </w:t>
      </w:r>
      <w:r w:rsidRPr="00BC1F76">
        <w:rPr>
          <w:rFonts w:ascii="Calibri" w:hAnsi="Calibri" w:cs="Calibri"/>
          <w:i/>
          <w:iCs/>
          <w:kern w:val="0"/>
        </w:rPr>
        <w:t>J Psychopharmacol</w:t>
      </w:r>
      <w:r w:rsidRPr="00BC1F76">
        <w:rPr>
          <w:rFonts w:ascii="Calibri" w:hAnsi="Calibri" w:cs="Calibri"/>
          <w:kern w:val="0"/>
        </w:rPr>
        <w:t xml:space="preserve"> 2023; 37: 733–748.</w:t>
      </w:r>
    </w:p>
    <w:p w14:paraId="11B6BCA3"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[9] </w:t>
      </w:r>
      <w:r w:rsidRPr="00BC1F76">
        <w:rPr>
          <w:rFonts w:ascii="Calibri" w:hAnsi="Calibri" w:cs="Calibri"/>
          <w:kern w:val="0"/>
        </w:rPr>
        <w:tab/>
        <w:t>Castilla Jiménez JF. La neurobiología subyacente a los efectos terapéuticos de la psilocibina, https://hdl.handle.net/20.500.14330/TES01000837118 (2023, accessed 5 April 2026).</w:t>
      </w:r>
    </w:p>
    <w:p w14:paraId="2A6F61FA"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[10] </w:t>
      </w:r>
      <w:r w:rsidRPr="00BC1F76">
        <w:rPr>
          <w:rFonts w:ascii="Calibri" w:hAnsi="Calibri" w:cs="Calibri"/>
          <w:kern w:val="0"/>
        </w:rPr>
        <w:tab/>
        <w:t xml:space="preserve">Ambiente PF de P al. NORMA OFICIAL MEXICANA NOM-059-SEMARNAT-2010. </w:t>
      </w:r>
      <w:r w:rsidRPr="00BC1F76">
        <w:rPr>
          <w:rFonts w:ascii="Calibri" w:hAnsi="Calibri" w:cs="Calibri"/>
          <w:i/>
          <w:iCs/>
          <w:kern w:val="0"/>
        </w:rPr>
        <w:t>gob.mx</w:t>
      </w:r>
      <w:r w:rsidRPr="00BC1F76">
        <w:rPr>
          <w:rFonts w:ascii="Calibri" w:hAnsi="Calibri" w:cs="Calibri"/>
          <w:kern w:val="0"/>
        </w:rPr>
        <w:t>, http://www.gob.mx/profepa/documentos/norma-oficial-mexicana-nom-059-semarnat-2010 (accessed 3 April 2026).</w:t>
      </w:r>
    </w:p>
    <w:p w14:paraId="0E0E8678"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[11] </w:t>
      </w:r>
      <w:r w:rsidRPr="00497BD8">
        <w:rPr>
          <w:rFonts w:ascii="Calibri" w:hAnsi="Calibri" w:cs="Calibri"/>
          <w:kern w:val="0"/>
          <w:lang w:val="en-US"/>
        </w:rPr>
        <w:tab/>
        <w:t>Ferguson JM. SSRI Antidepressant Medications: Adverse Effects and Tolerability.</w:t>
      </w:r>
    </w:p>
    <w:p w14:paraId="5E496A7B"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[12] </w:t>
      </w:r>
      <w:r w:rsidRPr="00BC1F76">
        <w:rPr>
          <w:rFonts w:ascii="Calibri" w:hAnsi="Calibri" w:cs="Calibri"/>
          <w:kern w:val="0"/>
        </w:rPr>
        <w:tab/>
        <w:t>Salut B. BiblioguiesUV: Revisiones sistemáticas en Ciencias de la Salud: Pregunta de investigación: modelo PICO, https://uv-es.libguides.com/revisiones_sistematicas_Salud/pregunta_inves/PICO (accessed 28 April 2026).</w:t>
      </w:r>
    </w:p>
    <w:p w14:paraId="4186D610"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[13] </w:t>
      </w:r>
      <w:r w:rsidRPr="00497BD8">
        <w:rPr>
          <w:rFonts w:ascii="Calibri" w:hAnsi="Calibri" w:cs="Calibri"/>
          <w:kern w:val="0"/>
          <w:lang w:val="en-US"/>
        </w:rPr>
        <w:tab/>
        <w:t xml:space="preserve">Schultes RE. De Plantis Toxicariis e Mundo Novo Tropicale Commentationes XXIII: NOTES ON BIODYNAMIC PLANTS OF ABORIGINAL USE IN THE NORTHWESTERN AMAZONIA. </w:t>
      </w:r>
      <w:r w:rsidRPr="00497BD8">
        <w:rPr>
          <w:rFonts w:ascii="Calibri" w:hAnsi="Calibri" w:cs="Calibri"/>
          <w:i/>
          <w:iCs/>
          <w:kern w:val="0"/>
          <w:lang w:val="en-US"/>
        </w:rPr>
        <w:t>Botanical Museum Leaflets, Harvard University</w:t>
      </w:r>
      <w:r w:rsidRPr="00497BD8">
        <w:rPr>
          <w:rFonts w:ascii="Calibri" w:hAnsi="Calibri" w:cs="Calibri"/>
          <w:kern w:val="0"/>
          <w:lang w:val="en-US"/>
        </w:rPr>
        <w:t xml:space="preserve"> 1978; 26: 177–197.</w:t>
      </w:r>
    </w:p>
    <w:p w14:paraId="6CCEF46F" w14:textId="77777777" w:rsidR="00BC1F76" w:rsidRPr="00BC1F76" w:rsidRDefault="00BC1F76" w:rsidP="00BC1F76">
      <w:pPr>
        <w:pStyle w:val="Bibliografa"/>
        <w:rPr>
          <w:rFonts w:ascii="Calibri" w:hAnsi="Calibri" w:cs="Calibri"/>
          <w:kern w:val="0"/>
        </w:rPr>
      </w:pPr>
      <w:r w:rsidRPr="00497BD8">
        <w:rPr>
          <w:rFonts w:ascii="Calibri" w:hAnsi="Calibri" w:cs="Calibri"/>
          <w:kern w:val="0"/>
          <w:lang w:val="en-US"/>
        </w:rPr>
        <w:t xml:space="preserve">[17] </w:t>
      </w:r>
      <w:r w:rsidRPr="00497BD8">
        <w:rPr>
          <w:rFonts w:ascii="Calibri" w:hAnsi="Calibri" w:cs="Calibri"/>
          <w:kern w:val="0"/>
          <w:lang w:val="en-US"/>
        </w:rPr>
        <w:tab/>
        <w:t xml:space="preserve">Wasson RG. Seeking the Magic Mushroom. </w:t>
      </w:r>
      <w:r w:rsidRPr="00BC1F76">
        <w:rPr>
          <w:rFonts w:ascii="Calibri" w:hAnsi="Calibri" w:cs="Calibri"/>
          <w:kern w:val="0"/>
        </w:rPr>
        <w:t>Life Magazine. 1957;May:100-110Cuttersguide.com.[citado el 1 de abril de 2026]. Disponible en:https://www.cuttersguide.com/pdf/Periodical-Publications/life-by-time-inc-published-may-13-1957.pdf</w:t>
      </w:r>
    </w:p>
    <w:p w14:paraId="5A84313F"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[15] </w:t>
      </w:r>
      <w:r w:rsidRPr="00497BD8">
        <w:rPr>
          <w:rFonts w:ascii="Calibri" w:hAnsi="Calibri" w:cs="Calibri"/>
          <w:kern w:val="0"/>
          <w:lang w:val="en-US"/>
        </w:rPr>
        <w:tab/>
        <w:t xml:space="preserve">Hofmann A, Frey A, Ott H, et al. Konstitutionsaufklärung und Synthese von Psilocybin. </w:t>
      </w:r>
      <w:r w:rsidRPr="00497BD8">
        <w:rPr>
          <w:rFonts w:ascii="Calibri" w:hAnsi="Calibri" w:cs="Calibri"/>
          <w:i/>
          <w:iCs/>
          <w:kern w:val="0"/>
          <w:lang w:val="en-US"/>
        </w:rPr>
        <w:t>Experientia</w:t>
      </w:r>
      <w:r w:rsidRPr="00497BD8">
        <w:rPr>
          <w:rFonts w:ascii="Calibri" w:hAnsi="Calibri" w:cs="Calibri"/>
          <w:kern w:val="0"/>
          <w:lang w:val="en-US"/>
        </w:rPr>
        <w:t xml:space="preserve"> 1958; 14: 397–399.</w:t>
      </w:r>
    </w:p>
    <w:p w14:paraId="1C621F85" w14:textId="77777777" w:rsidR="00BC1F76" w:rsidRPr="00BC1F76" w:rsidRDefault="00BC1F76" w:rsidP="00BC1F76">
      <w:pPr>
        <w:pStyle w:val="Bibliografa"/>
        <w:rPr>
          <w:rFonts w:ascii="Calibri" w:hAnsi="Calibri" w:cs="Calibri"/>
          <w:kern w:val="0"/>
        </w:rPr>
      </w:pPr>
      <w:r w:rsidRPr="00497BD8">
        <w:rPr>
          <w:rFonts w:ascii="Calibri" w:hAnsi="Calibri" w:cs="Calibri"/>
          <w:kern w:val="0"/>
          <w:lang w:val="en-US"/>
        </w:rPr>
        <w:lastRenderedPageBreak/>
        <w:t xml:space="preserve">[19] </w:t>
      </w:r>
      <w:r w:rsidRPr="00497BD8">
        <w:rPr>
          <w:rFonts w:ascii="Calibri" w:hAnsi="Calibri" w:cs="Calibri"/>
          <w:kern w:val="0"/>
          <w:lang w:val="en-US"/>
        </w:rPr>
        <w:tab/>
        <w:t xml:space="preserve">Leary T, Dass R, Metzner R. The psychedelic experience. </w:t>
      </w:r>
      <w:r w:rsidRPr="00BC1F76">
        <w:rPr>
          <w:rFonts w:ascii="Calibri" w:hAnsi="Calibri" w:cs="Calibri"/>
          <w:kern w:val="0"/>
        </w:rPr>
        <w:t>1964 [citado el 1 deabril de 2026]; Disponible en:https://www.leathersmithe.com/politicshandcraftsenvironme/the-psychedelic-experience.pdf</w:t>
      </w:r>
    </w:p>
    <w:p w14:paraId="7B5FFECA"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[17] </w:t>
      </w:r>
      <w:r w:rsidRPr="00BC1F76">
        <w:rPr>
          <w:rFonts w:ascii="Calibri" w:hAnsi="Calibri" w:cs="Calibri"/>
          <w:kern w:val="0"/>
        </w:rPr>
        <w:tab/>
        <w:t xml:space="preserve">Pepe M, Hesami M, De La Cerda KA, et al. </w:t>
      </w:r>
      <w:r w:rsidRPr="00497BD8">
        <w:rPr>
          <w:rFonts w:ascii="Calibri" w:hAnsi="Calibri" w:cs="Calibri"/>
          <w:kern w:val="0"/>
          <w:lang w:val="en-US"/>
        </w:rPr>
        <w:t xml:space="preserve">A journey with psychedelic mushrooms: From historical relevance to biology, cultivation, medicinal uses, biotechnology, and beyond. </w:t>
      </w:r>
      <w:r w:rsidRPr="00BC1F76">
        <w:rPr>
          <w:rFonts w:ascii="Calibri" w:hAnsi="Calibri" w:cs="Calibri"/>
          <w:i/>
          <w:iCs/>
          <w:kern w:val="0"/>
        </w:rPr>
        <w:t>Biotechnology Advances</w:t>
      </w:r>
      <w:r w:rsidRPr="00BC1F76">
        <w:rPr>
          <w:rFonts w:ascii="Calibri" w:hAnsi="Calibri" w:cs="Calibri"/>
          <w:kern w:val="0"/>
        </w:rPr>
        <w:t xml:space="preserve"> 2023; 69: 108247.</w:t>
      </w:r>
    </w:p>
    <w:p w14:paraId="2CBE848B"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[18] </w:t>
      </w:r>
      <w:r w:rsidRPr="00BC1F76">
        <w:rPr>
          <w:rFonts w:ascii="Calibri" w:hAnsi="Calibri" w:cs="Calibri"/>
          <w:kern w:val="0"/>
        </w:rPr>
        <w:tab/>
        <w:t>Barcenas G. CONVENIO SOBRE SUSTANCIAS SICOTROPICAS 1971.</w:t>
      </w:r>
    </w:p>
    <w:p w14:paraId="23EF9766"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[24] </w:t>
      </w:r>
      <w:r w:rsidRPr="00BC1F76">
        <w:rPr>
          <w:rFonts w:ascii="Calibri" w:hAnsi="Calibri" w:cs="Calibri"/>
          <w:kern w:val="0"/>
        </w:rPr>
        <w:tab/>
        <w:t>Código Penal Federal. Nuevo Código Publicado en el Diario Oficial de la F el. CÓDIGO PENALFEDERAL [Internet]. Gob.mx. [citado el 14 de septiembre de 2025]. Disponibleen: https://www.diputados.gob.mx/LeyesBiblio/pdf/CPF.pdf</w:t>
      </w:r>
    </w:p>
    <w:p w14:paraId="398FE1CC"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[20] </w:t>
      </w:r>
      <w:r w:rsidRPr="00BC1F76">
        <w:rPr>
          <w:rFonts w:ascii="Calibri" w:hAnsi="Calibri" w:cs="Calibri"/>
          <w:kern w:val="0"/>
        </w:rPr>
        <w:tab/>
        <w:t>Ministerio de Asuntos Exteriores. Convención única de 1961 sobre estupefacientes, enmendada por el Protocolo que modifica la Convención única de 1961 sobre estupefacientes. Nueva York, 8 de agosto de 1975. Acuerdo Internacional.</w:t>
      </w:r>
    </w:p>
    <w:p w14:paraId="5FD61C5C"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[21] </w:t>
      </w:r>
      <w:r w:rsidRPr="00BC1F76">
        <w:rPr>
          <w:rFonts w:ascii="Calibri" w:hAnsi="Calibri" w:cs="Calibri"/>
          <w:kern w:val="0"/>
        </w:rPr>
        <w:tab/>
        <w:t>Ley General de Salud.</w:t>
      </w:r>
    </w:p>
    <w:p w14:paraId="340AD9AD" w14:textId="77777777" w:rsidR="00BC1F76" w:rsidRPr="00BC1F76" w:rsidRDefault="00BC1F76" w:rsidP="00BC1F76">
      <w:pPr>
        <w:pStyle w:val="Bibliografa"/>
        <w:rPr>
          <w:rFonts w:ascii="Calibri" w:hAnsi="Calibri" w:cs="Calibri"/>
          <w:kern w:val="0"/>
        </w:rPr>
      </w:pPr>
      <w:r w:rsidRPr="00497BD8">
        <w:rPr>
          <w:rFonts w:ascii="Calibri" w:hAnsi="Calibri" w:cs="Calibri"/>
          <w:kern w:val="0"/>
          <w:lang w:val="en-US"/>
        </w:rPr>
        <w:t xml:space="preserve">[22] </w:t>
      </w:r>
      <w:r w:rsidRPr="00497BD8">
        <w:rPr>
          <w:rFonts w:ascii="Calibri" w:hAnsi="Calibri" w:cs="Calibri"/>
          <w:kern w:val="0"/>
          <w:lang w:val="en-US"/>
        </w:rPr>
        <w:tab/>
        <w:t xml:space="preserve">Carhart-Harris RL, Bolstridge M, Day CMJ, et al. Psilocybin with psychological support for treatment-resistant depression: six-month follow-up. </w:t>
      </w:r>
      <w:r w:rsidRPr="00BC1F76">
        <w:rPr>
          <w:rFonts w:ascii="Calibri" w:hAnsi="Calibri" w:cs="Calibri"/>
          <w:i/>
          <w:iCs/>
          <w:kern w:val="0"/>
        </w:rPr>
        <w:t>Psychopharmacology</w:t>
      </w:r>
      <w:r w:rsidRPr="00BC1F76">
        <w:rPr>
          <w:rFonts w:ascii="Calibri" w:hAnsi="Calibri" w:cs="Calibri"/>
          <w:kern w:val="0"/>
        </w:rPr>
        <w:t xml:space="preserve"> 2018; 235: 399–408.</w:t>
      </w:r>
    </w:p>
    <w:p w14:paraId="1F4D9D0A"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[23] </w:t>
      </w:r>
      <w:r w:rsidRPr="00BC1F76">
        <w:rPr>
          <w:rFonts w:ascii="Calibri" w:hAnsi="Calibri" w:cs="Calibri"/>
          <w:kern w:val="0"/>
        </w:rPr>
        <w:tab/>
        <w:t xml:space="preserve">Convenio sobre pueblos indígenas y tribales, 1989 (169). </w:t>
      </w:r>
      <w:r w:rsidRPr="00BC1F76">
        <w:rPr>
          <w:rFonts w:ascii="Calibri" w:hAnsi="Calibri" w:cs="Calibri"/>
          <w:i/>
          <w:iCs/>
          <w:kern w:val="0"/>
        </w:rPr>
        <w:t>OHCHR</w:t>
      </w:r>
      <w:r w:rsidRPr="00BC1F76">
        <w:rPr>
          <w:rFonts w:ascii="Calibri" w:hAnsi="Calibri" w:cs="Calibri"/>
          <w:kern w:val="0"/>
        </w:rPr>
        <w:t>, https://www.ohchr.org/es/instruments-mechanisms/instruments/indigenous-and-tribal-peoples-convention-1989-no-169 (accessed 5 April 2026).</w:t>
      </w:r>
    </w:p>
    <w:p w14:paraId="7F8E3E47"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[24] </w:t>
      </w:r>
      <w:r w:rsidRPr="00BC1F76">
        <w:rPr>
          <w:rFonts w:ascii="Calibri" w:hAnsi="Calibri" w:cs="Calibri"/>
          <w:kern w:val="0"/>
        </w:rPr>
        <w:tab/>
        <w:t xml:space="preserve">Peraza DSV. Relatoría: Uso de sustancias psicotrópicas. Libre desarrollo de la personalidad. Amparo en Revisión 374/2020 (Primera Sala de la Suprema Corte de Justicia de la Nación). </w:t>
      </w:r>
      <w:r w:rsidRPr="00BC1F76">
        <w:rPr>
          <w:rFonts w:ascii="Calibri" w:hAnsi="Calibri" w:cs="Calibri"/>
          <w:i/>
          <w:iCs/>
          <w:kern w:val="0"/>
        </w:rPr>
        <w:t>Magister Iuris Revista Digital de la Facultad de Derecho</w:t>
      </w:r>
      <w:r w:rsidRPr="00BC1F76">
        <w:rPr>
          <w:rFonts w:ascii="Calibri" w:hAnsi="Calibri" w:cs="Calibri"/>
          <w:kern w:val="0"/>
        </w:rPr>
        <w:t xml:space="preserve"> 2025; 50–65.</w:t>
      </w:r>
    </w:p>
    <w:p w14:paraId="0EF82C19"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t xml:space="preserve">[25] </w:t>
      </w:r>
      <w:r w:rsidRPr="00BC1F76">
        <w:rPr>
          <w:rFonts w:ascii="Calibri" w:hAnsi="Calibri" w:cs="Calibri"/>
          <w:kern w:val="0"/>
        </w:rPr>
        <w:tab/>
        <w:t xml:space="preserve">Sanitarios CF para la P contra R. COFEPRIS fortalece la regulación sanitaria de sustancias controladas. </w:t>
      </w:r>
      <w:r w:rsidRPr="00BC1F76">
        <w:rPr>
          <w:rFonts w:ascii="Calibri" w:hAnsi="Calibri" w:cs="Calibri"/>
          <w:i/>
          <w:iCs/>
          <w:kern w:val="0"/>
        </w:rPr>
        <w:t>gob.mx</w:t>
      </w:r>
      <w:r w:rsidRPr="00BC1F76">
        <w:rPr>
          <w:rFonts w:ascii="Calibri" w:hAnsi="Calibri" w:cs="Calibri"/>
          <w:kern w:val="0"/>
        </w:rPr>
        <w:t>, http://www.gob.mx/cofepris/es/articulos/cofepris-fortalece-la-regulacion-sanitaria-de-sustancias-controladas?idiom=es (2025, accessed 7 April 2026).</w:t>
      </w:r>
    </w:p>
    <w:p w14:paraId="61C069C3"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[26] </w:t>
      </w:r>
      <w:r w:rsidRPr="00497BD8">
        <w:rPr>
          <w:rFonts w:ascii="Calibri" w:hAnsi="Calibri" w:cs="Calibri"/>
          <w:kern w:val="0"/>
          <w:lang w:val="en-US"/>
        </w:rPr>
        <w:tab/>
        <w:t>Department of Justice | Drug Enforcement Administration | United States Department of Justice, https://www.justice.gov/doj/organization-mission-and-functions-manual-drug-enforcement-administration (2022, accessed 5 April 2026).</w:t>
      </w:r>
    </w:p>
    <w:p w14:paraId="2DA63DE6"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[27] </w:t>
      </w:r>
      <w:r w:rsidRPr="00497BD8">
        <w:rPr>
          <w:rFonts w:ascii="Calibri" w:hAnsi="Calibri" w:cs="Calibri"/>
          <w:kern w:val="0"/>
          <w:lang w:val="en-US"/>
        </w:rPr>
        <w:tab/>
        <w:t>Canada H. Controlled substances, https://www.canada.ca/en/health-canada/services/health-concerns/controlled-substances-precursor-chemicals/controlled-substances.html (2004, accessed 5 April 2026).</w:t>
      </w:r>
    </w:p>
    <w:p w14:paraId="5DA17526"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[28] </w:t>
      </w:r>
      <w:r w:rsidRPr="00497BD8">
        <w:rPr>
          <w:rFonts w:ascii="Calibri" w:hAnsi="Calibri" w:cs="Calibri"/>
          <w:kern w:val="0"/>
          <w:lang w:val="en-US"/>
        </w:rPr>
        <w:tab/>
        <w:t xml:space="preserve">Johnson MW, Hendricks PS, Barrett FS, et al. Classic psychedelics: An integrative review of epidemiology, therapeutics, mystical experience, and brain network function. </w:t>
      </w:r>
      <w:r w:rsidRPr="00497BD8">
        <w:rPr>
          <w:rFonts w:ascii="Calibri" w:hAnsi="Calibri" w:cs="Calibri"/>
          <w:i/>
          <w:iCs/>
          <w:kern w:val="0"/>
          <w:lang w:val="en-US"/>
        </w:rPr>
        <w:t>Pharmacology &amp; Therapeutics</w:t>
      </w:r>
      <w:r w:rsidRPr="00497BD8">
        <w:rPr>
          <w:rFonts w:ascii="Calibri" w:hAnsi="Calibri" w:cs="Calibri"/>
          <w:kern w:val="0"/>
          <w:lang w:val="en-US"/>
        </w:rPr>
        <w:t xml:space="preserve"> 2019; 197: 83–102.</w:t>
      </w:r>
    </w:p>
    <w:p w14:paraId="16180F6B" w14:textId="77777777" w:rsidR="00BC1F76" w:rsidRPr="00BC1F76" w:rsidRDefault="00BC1F76" w:rsidP="00BC1F76">
      <w:pPr>
        <w:pStyle w:val="Bibliografa"/>
        <w:rPr>
          <w:rFonts w:ascii="Calibri" w:hAnsi="Calibri" w:cs="Calibri"/>
          <w:kern w:val="0"/>
        </w:rPr>
      </w:pPr>
      <w:r w:rsidRPr="00497BD8">
        <w:rPr>
          <w:rFonts w:ascii="Calibri" w:hAnsi="Calibri" w:cs="Calibri"/>
          <w:kern w:val="0"/>
          <w:lang w:val="en-US"/>
        </w:rPr>
        <w:t xml:space="preserve">[29] </w:t>
      </w:r>
      <w:r w:rsidRPr="00497BD8">
        <w:rPr>
          <w:rFonts w:ascii="Calibri" w:hAnsi="Calibri" w:cs="Calibri"/>
          <w:kern w:val="0"/>
          <w:lang w:val="en-US"/>
        </w:rPr>
        <w:tab/>
        <w:t xml:space="preserve">Muttoni S, Ardissino M, John C. Classical psychedelics for the treatment of depression and anxiety: A systematic review. </w:t>
      </w:r>
      <w:r w:rsidRPr="00BC1F76">
        <w:rPr>
          <w:rFonts w:ascii="Calibri" w:hAnsi="Calibri" w:cs="Calibri"/>
          <w:i/>
          <w:iCs/>
          <w:kern w:val="0"/>
        </w:rPr>
        <w:t>J Affect Disord</w:t>
      </w:r>
      <w:r w:rsidRPr="00BC1F76">
        <w:rPr>
          <w:rFonts w:ascii="Calibri" w:hAnsi="Calibri" w:cs="Calibri"/>
          <w:kern w:val="0"/>
        </w:rPr>
        <w:t xml:space="preserve"> 2019; 258: 11–24.</w:t>
      </w:r>
    </w:p>
    <w:p w14:paraId="341442D4" w14:textId="77777777" w:rsidR="00BC1F76" w:rsidRPr="00BC1F76" w:rsidRDefault="00BC1F76" w:rsidP="00BC1F76">
      <w:pPr>
        <w:pStyle w:val="Bibliografa"/>
        <w:rPr>
          <w:rFonts w:ascii="Calibri" w:hAnsi="Calibri" w:cs="Calibri"/>
          <w:kern w:val="0"/>
        </w:rPr>
      </w:pPr>
      <w:r w:rsidRPr="00BC1F76">
        <w:rPr>
          <w:rFonts w:ascii="Calibri" w:hAnsi="Calibri" w:cs="Calibri"/>
          <w:kern w:val="0"/>
        </w:rPr>
        <w:lastRenderedPageBreak/>
        <w:t xml:space="preserve">[30] </w:t>
      </w:r>
      <w:r w:rsidRPr="00BC1F76">
        <w:rPr>
          <w:rFonts w:ascii="Calibri" w:hAnsi="Calibri" w:cs="Calibri"/>
          <w:kern w:val="0"/>
        </w:rPr>
        <w:tab/>
        <w:t>Lechuga Jiménez K. Psicoterapia asistida con psicodélicos y su viabilidad de práctica en México, https://hdl.handle.net/20.500.14330/TES01000848465 (2023, accessed 5 April 2026).</w:t>
      </w:r>
    </w:p>
    <w:p w14:paraId="08549962"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[31] </w:t>
      </w:r>
      <w:r w:rsidRPr="00497BD8">
        <w:rPr>
          <w:rFonts w:ascii="Calibri" w:hAnsi="Calibri" w:cs="Calibri"/>
          <w:kern w:val="0"/>
          <w:lang w:val="en-US"/>
        </w:rPr>
        <w:tab/>
        <w:t xml:space="preserve">Hosein MM, Reid MJ, Walser S, et al. Considerations and cautions for the integration of psilocybin into routine clinical care: a consensus statement from the US National Network of Depression Centers’ Task Group on Psychedelics and Related Compounds. </w:t>
      </w:r>
      <w:r w:rsidRPr="00497BD8">
        <w:rPr>
          <w:rFonts w:ascii="Calibri" w:hAnsi="Calibri" w:cs="Calibri"/>
          <w:i/>
          <w:iCs/>
          <w:kern w:val="0"/>
          <w:lang w:val="en-US"/>
        </w:rPr>
        <w:t>eClinicalMedicine</w:t>
      </w:r>
      <w:r w:rsidRPr="00497BD8">
        <w:rPr>
          <w:rFonts w:ascii="Calibri" w:hAnsi="Calibri" w:cs="Calibri"/>
          <w:kern w:val="0"/>
          <w:lang w:val="en-US"/>
        </w:rPr>
        <w:t xml:space="preserve"> 2025; 89: 103517.</w:t>
      </w:r>
    </w:p>
    <w:p w14:paraId="308CFA54" w14:textId="77777777" w:rsidR="00BC1F76" w:rsidRPr="00497BD8" w:rsidRDefault="00BC1F76" w:rsidP="00BC1F76">
      <w:pPr>
        <w:pStyle w:val="Bibliografa"/>
        <w:rPr>
          <w:rFonts w:ascii="Calibri" w:hAnsi="Calibri" w:cs="Calibri"/>
          <w:kern w:val="0"/>
          <w:lang w:val="en-US"/>
        </w:rPr>
      </w:pPr>
      <w:r w:rsidRPr="00497BD8">
        <w:rPr>
          <w:rFonts w:ascii="Calibri" w:hAnsi="Calibri" w:cs="Calibri"/>
          <w:kern w:val="0"/>
          <w:lang w:val="en-US"/>
        </w:rPr>
        <w:t xml:space="preserve">[32] </w:t>
      </w:r>
      <w:r w:rsidRPr="00497BD8">
        <w:rPr>
          <w:rFonts w:ascii="Calibri" w:hAnsi="Calibri" w:cs="Calibri"/>
          <w:kern w:val="0"/>
          <w:lang w:val="en-US"/>
        </w:rPr>
        <w:tab/>
        <w:t xml:space="preserve">Haikazian S, Chen-Li DCJ, Johnson DE, et al. Psilocybin-assisted therapy for depression: A systematic review and meta-analysis. </w:t>
      </w:r>
      <w:r w:rsidRPr="00497BD8">
        <w:rPr>
          <w:rFonts w:ascii="Calibri" w:hAnsi="Calibri" w:cs="Calibri"/>
          <w:i/>
          <w:iCs/>
          <w:kern w:val="0"/>
          <w:lang w:val="en-US"/>
        </w:rPr>
        <w:t>Psychiatry Research</w:t>
      </w:r>
      <w:r w:rsidRPr="00497BD8">
        <w:rPr>
          <w:rFonts w:ascii="Calibri" w:hAnsi="Calibri" w:cs="Calibri"/>
          <w:kern w:val="0"/>
          <w:lang w:val="en-US"/>
        </w:rPr>
        <w:t xml:space="preserve"> 2023; 329: 115531.</w:t>
      </w:r>
    </w:p>
    <w:p w14:paraId="2B6C250F" w14:textId="77777777" w:rsidR="00BC1F76" w:rsidRPr="00BC1F76" w:rsidRDefault="00BC1F76" w:rsidP="00BC1F76">
      <w:pPr>
        <w:pStyle w:val="Bibliografa"/>
        <w:rPr>
          <w:rFonts w:ascii="Calibri" w:hAnsi="Calibri" w:cs="Calibri"/>
          <w:kern w:val="0"/>
        </w:rPr>
      </w:pPr>
      <w:r w:rsidRPr="00497BD8">
        <w:rPr>
          <w:rFonts w:ascii="Calibri" w:hAnsi="Calibri" w:cs="Calibri"/>
          <w:kern w:val="0"/>
          <w:lang w:val="en-US"/>
        </w:rPr>
        <w:t xml:space="preserve">[33] </w:t>
      </w:r>
      <w:r w:rsidRPr="00497BD8">
        <w:rPr>
          <w:rFonts w:ascii="Calibri" w:hAnsi="Calibri" w:cs="Calibri"/>
          <w:kern w:val="0"/>
          <w:lang w:val="en-US"/>
        </w:rPr>
        <w:tab/>
        <w:t xml:space="preserve">Matos ARS, Silva AC, Rego L, et al. Psilocybin-assisted therapy for individuals with palliative care needs: A systematic review of safety and efficacy. </w:t>
      </w:r>
      <w:r w:rsidRPr="00BC1F76">
        <w:rPr>
          <w:rFonts w:ascii="Calibri" w:hAnsi="Calibri" w:cs="Calibri"/>
          <w:i/>
          <w:iCs/>
          <w:kern w:val="0"/>
        </w:rPr>
        <w:t>Palliat Med</w:t>
      </w:r>
      <w:r w:rsidRPr="00BC1F76">
        <w:rPr>
          <w:rFonts w:ascii="Calibri" w:hAnsi="Calibri" w:cs="Calibri"/>
          <w:kern w:val="0"/>
        </w:rPr>
        <w:t xml:space="preserve"> 2026; 40: 7–20.</w:t>
      </w:r>
    </w:p>
    <w:p w14:paraId="7DA242EB" w14:textId="2E94203F" w:rsidR="00B37F0A" w:rsidRPr="00010296" w:rsidRDefault="002A13DB" w:rsidP="00D978AE">
      <w:pPr>
        <w:rPr>
          <w:rFonts w:ascii="Arial" w:hAnsi="Arial" w:cs="Arial"/>
          <w:sz w:val="20"/>
          <w:szCs w:val="20"/>
          <w:lang w:val="es-MX"/>
        </w:rPr>
      </w:pPr>
      <w:r w:rsidRPr="004B6EC4">
        <w:rPr>
          <w:rFonts w:ascii="Arial" w:hAnsi="Arial" w:cs="Arial"/>
          <w:b/>
          <w:bCs/>
          <w:sz w:val="20"/>
          <w:szCs w:val="20"/>
        </w:rPr>
        <w:fldChar w:fldCharType="end"/>
      </w:r>
    </w:p>
    <w:p w14:paraId="2AF58D87" w14:textId="72D9EF45" w:rsidR="00DA7906" w:rsidRDefault="00DA7906" w:rsidP="00DA7906">
      <w:pPr>
        <w:rPr>
          <w:rFonts w:ascii="Arial" w:hAnsi="Arial" w:cs="Arial"/>
          <w:sz w:val="20"/>
          <w:szCs w:val="20"/>
          <w:lang w:val="es-MX"/>
        </w:rPr>
      </w:pPr>
      <w:r w:rsidRPr="00010296">
        <w:rPr>
          <w:rFonts w:ascii="Arial" w:hAnsi="Arial" w:cs="Arial"/>
          <w:sz w:val="20"/>
          <w:szCs w:val="20"/>
          <w:lang w:val="es-MX"/>
        </w:rPr>
        <w:tab/>
      </w:r>
    </w:p>
    <w:p w14:paraId="65A78447" w14:textId="684D247D" w:rsidR="00647F36" w:rsidRDefault="00647F36" w:rsidP="00DA7906">
      <w:pPr>
        <w:rPr>
          <w:rFonts w:ascii="Arial" w:hAnsi="Arial" w:cs="Arial"/>
          <w:sz w:val="20"/>
          <w:szCs w:val="20"/>
          <w:lang w:val="es-MX"/>
        </w:rPr>
      </w:pPr>
      <w:r>
        <w:rPr>
          <w:rFonts w:ascii="Arial" w:hAnsi="Arial" w:cs="Arial"/>
          <w:sz w:val="20"/>
          <w:szCs w:val="20"/>
          <w:lang w:val="es-MX"/>
        </w:rPr>
        <w:t>88</w:t>
      </w:r>
    </w:p>
    <w:p w14:paraId="1C482B74" w14:textId="77777777" w:rsidR="00647F36" w:rsidRPr="00647F36" w:rsidRDefault="00647F36" w:rsidP="00647F36">
      <w:pPr>
        <w:rPr>
          <w:rFonts w:ascii="Arial" w:hAnsi="Arial" w:cs="Arial"/>
          <w:sz w:val="20"/>
          <w:szCs w:val="20"/>
          <w:lang w:val="es-MX"/>
        </w:rPr>
      </w:pPr>
      <w:r w:rsidRPr="00647F36">
        <w:rPr>
          <w:rFonts w:ascii="Arial" w:hAnsi="Arial" w:cs="Arial"/>
          <w:sz w:val="20"/>
          <w:szCs w:val="20"/>
          <w:lang w:val="es-MX"/>
        </w:rPr>
        <w:t>88</w:t>
      </w:r>
    </w:p>
    <w:p w14:paraId="17B7CF72" w14:textId="77777777" w:rsidR="00647F36" w:rsidRPr="00647F36" w:rsidRDefault="00647F36" w:rsidP="00647F36">
      <w:pPr>
        <w:rPr>
          <w:rFonts w:ascii="Arial" w:hAnsi="Arial" w:cs="Arial"/>
          <w:sz w:val="20"/>
          <w:szCs w:val="20"/>
          <w:lang w:val="es-MX"/>
        </w:rPr>
      </w:pPr>
    </w:p>
    <w:p w14:paraId="019DF4C7" w14:textId="77777777" w:rsidR="00647F36" w:rsidRPr="00647F36" w:rsidRDefault="00647F36" w:rsidP="00647F36">
      <w:pPr>
        <w:rPr>
          <w:rFonts w:ascii="Arial" w:hAnsi="Arial" w:cs="Arial"/>
          <w:sz w:val="20"/>
          <w:szCs w:val="20"/>
          <w:lang w:val="es-MX"/>
        </w:rPr>
      </w:pPr>
    </w:p>
    <w:sectPr w:rsidR="00647F36" w:rsidRPr="00647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267"/>
    <w:multiLevelType w:val="multilevel"/>
    <w:tmpl w:val="A85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53B9B"/>
    <w:multiLevelType w:val="multilevel"/>
    <w:tmpl w:val="F39C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66A49"/>
    <w:multiLevelType w:val="singleLevel"/>
    <w:tmpl w:val="B9DCC948"/>
    <w:lvl w:ilvl="0">
      <w:start w:val="1"/>
      <w:numFmt w:val="decimal"/>
      <w:lvlText w:val="[%1]"/>
      <w:lvlJc w:val="right"/>
      <w:pPr>
        <w:ind w:left="785" w:hanging="360"/>
      </w:pPr>
      <w:rPr>
        <w:rFonts w:ascii="Cambria Math" w:hAnsi="Cambria Math" w:hint="default"/>
        <w:b/>
        <w:i w:val="0"/>
        <w:strike w:val="0"/>
        <w:dstrike w:val="0"/>
        <w:vanish w:val="0"/>
        <w:webHidden w:val="0"/>
        <w:color w:val="000000" w:themeColor="text1"/>
        <w:sz w:val="18"/>
        <w:u w:val="none"/>
        <w:effect w:val="none"/>
        <w:vertAlign w:val="superscript"/>
        <w:specVanish w:val="0"/>
      </w:rPr>
    </w:lvl>
  </w:abstractNum>
  <w:abstractNum w:abstractNumId="3" w15:restartNumberingAfterBreak="0">
    <w:nsid w:val="314F56A6"/>
    <w:multiLevelType w:val="multilevel"/>
    <w:tmpl w:val="B27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E67DAD"/>
    <w:multiLevelType w:val="multilevel"/>
    <w:tmpl w:val="57FCEB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C90B0C"/>
    <w:multiLevelType w:val="hybridMultilevel"/>
    <w:tmpl w:val="E4FADF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2D2C2A"/>
    <w:multiLevelType w:val="multilevel"/>
    <w:tmpl w:val="2B6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2F5507"/>
    <w:multiLevelType w:val="hybridMultilevel"/>
    <w:tmpl w:val="4FEC8D2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4355218">
    <w:abstractNumId w:val="0"/>
  </w:num>
  <w:num w:numId="2" w16cid:durableId="12062875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697571">
    <w:abstractNumId w:val="5"/>
  </w:num>
  <w:num w:numId="4" w16cid:durableId="1613586497">
    <w:abstractNumId w:val="1"/>
  </w:num>
  <w:num w:numId="5" w16cid:durableId="579828697">
    <w:abstractNumId w:val="3"/>
  </w:num>
  <w:num w:numId="6" w16cid:durableId="679089325">
    <w:abstractNumId w:val="8"/>
  </w:num>
  <w:num w:numId="7" w16cid:durableId="806581048">
    <w:abstractNumId w:val="7"/>
  </w:num>
  <w:num w:numId="8" w16cid:durableId="811598456">
    <w:abstractNumId w:val="6"/>
  </w:num>
  <w:num w:numId="9" w16cid:durableId="9663563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43"/>
    <w:rsid w:val="000018D1"/>
    <w:rsid w:val="00001B91"/>
    <w:rsid w:val="0000652D"/>
    <w:rsid w:val="000072DB"/>
    <w:rsid w:val="00010296"/>
    <w:rsid w:val="00010EFB"/>
    <w:rsid w:val="000112D9"/>
    <w:rsid w:val="00011392"/>
    <w:rsid w:val="00012D53"/>
    <w:rsid w:val="00014043"/>
    <w:rsid w:val="00015CD2"/>
    <w:rsid w:val="00021B7B"/>
    <w:rsid w:val="0002664C"/>
    <w:rsid w:val="00027C66"/>
    <w:rsid w:val="000303B4"/>
    <w:rsid w:val="00030923"/>
    <w:rsid w:val="00033ADB"/>
    <w:rsid w:val="00033F87"/>
    <w:rsid w:val="00034DA0"/>
    <w:rsid w:val="00041A0D"/>
    <w:rsid w:val="00043504"/>
    <w:rsid w:val="000459F0"/>
    <w:rsid w:val="00047568"/>
    <w:rsid w:val="00050758"/>
    <w:rsid w:val="00050EE1"/>
    <w:rsid w:val="00051DD2"/>
    <w:rsid w:val="0005256F"/>
    <w:rsid w:val="00054B4D"/>
    <w:rsid w:val="0005741C"/>
    <w:rsid w:val="00057A43"/>
    <w:rsid w:val="0006010D"/>
    <w:rsid w:val="00060A25"/>
    <w:rsid w:val="0006105C"/>
    <w:rsid w:val="0006353C"/>
    <w:rsid w:val="00067810"/>
    <w:rsid w:val="0007053A"/>
    <w:rsid w:val="00070550"/>
    <w:rsid w:val="000711E7"/>
    <w:rsid w:val="00072E3B"/>
    <w:rsid w:val="00077089"/>
    <w:rsid w:val="00082CEB"/>
    <w:rsid w:val="00083BD0"/>
    <w:rsid w:val="00084823"/>
    <w:rsid w:val="00086CAB"/>
    <w:rsid w:val="00091064"/>
    <w:rsid w:val="0009282F"/>
    <w:rsid w:val="000A02CE"/>
    <w:rsid w:val="000A2F22"/>
    <w:rsid w:val="000A7362"/>
    <w:rsid w:val="000B0D03"/>
    <w:rsid w:val="000B1972"/>
    <w:rsid w:val="000B21A1"/>
    <w:rsid w:val="000B5AD2"/>
    <w:rsid w:val="000B6567"/>
    <w:rsid w:val="000B7D69"/>
    <w:rsid w:val="000B7D83"/>
    <w:rsid w:val="000C208D"/>
    <w:rsid w:val="000C67DA"/>
    <w:rsid w:val="000C77C1"/>
    <w:rsid w:val="000C7ED7"/>
    <w:rsid w:val="000D0D6D"/>
    <w:rsid w:val="000D1003"/>
    <w:rsid w:val="000D438E"/>
    <w:rsid w:val="000D4FC7"/>
    <w:rsid w:val="000D4FF7"/>
    <w:rsid w:val="000D5830"/>
    <w:rsid w:val="000D7FED"/>
    <w:rsid w:val="000E11CC"/>
    <w:rsid w:val="000E4DE3"/>
    <w:rsid w:val="000E524D"/>
    <w:rsid w:val="000E5E7E"/>
    <w:rsid w:val="000E5E96"/>
    <w:rsid w:val="000E71DB"/>
    <w:rsid w:val="000E7372"/>
    <w:rsid w:val="000E7F46"/>
    <w:rsid w:val="000F077A"/>
    <w:rsid w:val="000F12EF"/>
    <w:rsid w:val="000F199D"/>
    <w:rsid w:val="000F31F7"/>
    <w:rsid w:val="000F4617"/>
    <w:rsid w:val="000F5B99"/>
    <w:rsid w:val="000F66EF"/>
    <w:rsid w:val="00100483"/>
    <w:rsid w:val="00101720"/>
    <w:rsid w:val="0010309A"/>
    <w:rsid w:val="001032EA"/>
    <w:rsid w:val="00105090"/>
    <w:rsid w:val="00105EE5"/>
    <w:rsid w:val="0010736A"/>
    <w:rsid w:val="00111DEF"/>
    <w:rsid w:val="00113D7B"/>
    <w:rsid w:val="0011404D"/>
    <w:rsid w:val="00114449"/>
    <w:rsid w:val="001147FB"/>
    <w:rsid w:val="001206B5"/>
    <w:rsid w:val="00120F47"/>
    <w:rsid w:val="00122E00"/>
    <w:rsid w:val="00123D8A"/>
    <w:rsid w:val="00130A92"/>
    <w:rsid w:val="001314CD"/>
    <w:rsid w:val="00132ABA"/>
    <w:rsid w:val="00134963"/>
    <w:rsid w:val="00136B00"/>
    <w:rsid w:val="00136C05"/>
    <w:rsid w:val="00142A70"/>
    <w:rsid w:val="001453C0"/>
    <w:rsid w:val="0014629A"/>
    <w:rsid w:val="00151CC1"/>
    <w:rsid w:val="00152AF1"/>
    <w:rsid w:val="00153438"/>
    <w:rsid w:val="00153551"/>
    <w:rsid w:val="001537A3"/>
    <w:rsid w:val="001547EC"/>
    <w:rsid w:val="00156640"/>
    <w:rsid w:val="001574AB"/>
    <w:rsid w:val="00160697"/>
    <w:rsid w:val="00163418"/>
    <w:rsid w:val="00163773"/>
    <w:rsid w:val="00163967"/>
    <w:rsid w:val="0016455E"/>
    <w:rsid w:val="00164CED"/>
    <w:rsid w:val="001657C2"/>
    <w:rsid w:val="00165D3F"/>
    <w:rsid w:val="0017039A"/>
    <w:rsid w:val="00170C32"/>
    <w:rsid w:val="001713A9"/>
    <w:rsid w:val="00172270"/>
    <w:rsid w:val="0017732A"/>
    <w:rsid w:val="00180D19"/>
    <w:rsid w:val="00183A55"/>
    <w:rsid w:val="0018435E"/>
    <w:rsid w:val="00187ACA"/>
    <w:rsid w:val="0019293D"/>
    <w:rsid w:val="00193F66"/>
    <w:rsid w:val="001957C6"/>
    <w:rsid w:val="0019695A"/>
    <w:rsid w:val="00196AB8"/>
    <w:rsid w:val="00197422"/>
    <w:rsid w:val="00197633"/>
    <w:rsid w:val="001A122F"/>
    <w:rsid w:val="001A232D"/>
    <w:rsid w:val="001A4B74"/>
    <w:rsid w:val="001A5BF3"/>
    <w:rsid w:val="001A6596"/>
    <w:rsid w:val="001A750F"/>
    <w:rsid w:val="001B123E"/>
    <w:rsid w:val="001B5096"/>
    <w:rsid w:val="001B7C36"/>
    <w:rsid w:val="001C4202"/>
    <w:rsid w:val="001C6BD2"/>
    <w:rsid w:val="001C6EB0"/>
    <w:rsid w:val="001D0067"/>
    <w:rsid w:val="001D27FA"/>
    <w:rsid w:val="001D31BB"/>
    <w:rsid w:val="001D6D87"/>
    <w:rsid w:val="001E0C0A"/>
    <w:rsid w:val="001E179B"/>
    <w:rsid w:val="001E2EEA"/>
    <w:rsid w:val="001E31CF"/>
    <w:rsid w:val="001E5AB3"/>
    <w:rsid w:val="001E7222"/>
    <w:rsid w:val="001E7B46"/>
    <w:rsid w:val="001F07EC"/>
    <w:rsid w:val="001F0D46"/>
    <w:rsid w:val="001F47A0"/>
    <w:rsid w:val="001F4C0F"/>
    <w:rsid w:val="001F7528"/>
    <w:rsid w:val="001F75DE"/>
    <w:rsid w:val="00201B75"/>
    <w:rsid w:val="00203E94"/>
    <w:rsid w:val="00204D63"/>
    <w:rsid w:val="00207293"/>
    <w:rsid w:val="0020739C"/>
    <w:rsid w:val="0021260C"/>
    <w:rsid w:val="00212918"/>
    <w:rsid w:val="00213657"/>
    <w:rsid w:val="00214557"/>
    <w:rsid w:val="00214DE1"/>
    <w:rsid w:val="00215533"/>
    <w:rsid w:val="00217101"/>
    <w:rsid w:val="00221830"/>
    <w:rsid w:val="00221F88"/>
    <w:rsid w:val="0022210C"/>
    <w:rsid w:val="00222287"/>
    <w:rsid w:val="0022290D"/>
    <w:rsid w:val="00222AE7"/>
    <w:rsid w:val="00225920"/>
    <w:rsid w:val="00225CCC"/>
    <w:rsid w:val="00226511"/>
    <w:rsid w:val="00232993"/>
    <w:rsid w:val="0023369C"/>
    <w:rsid w:val="00234E27"/>
    <w:rsid w:val="0023538E"/>
    <w:rsid w:val="00235A2D"/>
    <w:rsid w:val="0023673C"/>
    <w:rsid w:val="00236E86"/>
    <w:rsid w:val="00237467"/>
    <w:rsid w:val="00244C1D"/>
    <w:rsid w:val="00245220"/>
    <w:rsid w:val="00246274"/>
    <w:rsid w:val="00246DC9"/>
    <w:rsid w:val="002470D3"/>
    <w:rsid w:val="002501F1"/>
    <w:rsid w:val="00253E62"/>
    <w:rsid w:val="00254F9B"/>
    <w:rsid w:val="00260F19"/>
    <w:rsid w:val="002619BB"/>
    <w:rsid w:val="00262D56"/>
    <w:rsid w:val="00267ADE"/>
    <w:rsid w:val="002700F5"/>
    <w:rsid w:val="0027045C"/>
    <w:rsid w:val="00271A48"/>
    <w:rsid w:val="002739D8"/>
    <w:rsid w:val="00274D87"/>
    <w:rsid w:val="0027755C"/>
    <w:rsid w:val="00280914"/>
    <w:rsid w:val="002829A9"/>
    <w:rsid w:val="002833EC"/>
    <w:rsid w:val="00283DA7"/>
    <w:rsid w:val="0028405B"/>
    <w:rsid w:val="00286E79"/>
    <w:rsid w:val="00287A30"/>
    <w:rsid w:val="00287FC1"/>
    <w:rsid w:val="002921BD"/>
    <w:rsid w:val="00294AF0"/>
    <w:rsid w:val="00295F8F"/>
    <w:rsid w:val="00296625"/>
    <w:rsid w:val="00297E1C"/>
    <w:rsid w:val="00297EFE"/>
    <w:rsid w:val="002A05FF"/>
    <w:rsid w:val="002A0FC2"/>
    <w:rsid w:val="002A13DB"/>
    <w:rsid w:val="002A2529"/>
    <w:rsid w:val="002A3672"/>
    <w:rsid w:val="002A4B04"/>
    <w:rsid w:val="002B0E2F"/>
    <w:rsid w:val="002B1F2D"/>
    <w:rsid w:val="002B3C74"/>
    <w:rsid w:val="002B61EE"/>
    <w:rsid w:val="002B7376"/>
    <w:rsid w:val="002C0270"/>
    <w:rsid w:val="002C06AB"/>
    <w:rsid w:val="002C2D1B"/>
    <w:rsid w:val="002C2DBF"/>
    <w:rsid w:val="002C64B5"/>
    <w:rsid w:val="002C7F7E"/>
    <w:rsid w:val="002D1962"/>
    <w:rsid w:val="002D1C41"/>
    <w:rsid w:val="002D300B"/>
    <w:rsid w:val="002D3596"/>
    <w:rsid w:val="002D6928"/>
    <w:rsid w:val="002D69DA"/>
    <w:rsid w:val="002F0F61"/>
    <w:rsid w:val="002F155A"/>
    <w:rsid w:val="002F2147"/>
    <w:rsid w:val="002F334F"/>
    <w:rsid w:val="002F569F"/>
    <w:rsid w:val="002F7C5C"/>
    <w:rsid w:val="00301DA3"/>
    <w:rsid w:val="0030241B"/>
    <w:rsid w:val="00302E6A"/>
    <w:rsid w:val="0030543F"/>
    <w:rsid w:val="003058AB"/>
    <w:rsid w:val="00307D74"/>
    <w:rsid w:val="003106EE"/>
    <w:rsid w:val="00310CA2"/>
    <w:rsid w:val="00310F1F"/>
    <w:rsid w:val="00315E37"/>
    <w:rsid w:val="0032030D"/>
    <w:rsid w:val="00321A0B"/>
    <w:rsid w:val="00322E7E"/>
    <w:rsid w:val="00324124"/>
    <w:rsid w:val="00326FF7"/>
    <w:rsid w:val="0032700E"/>
    <w:rsid w:val="00327171"/>
    <w:rsid w:val="003276CC"/>
    <w:rsid w:val="003308D7"/>
    <w:rsid w:val="00334692"/>
    <w:rsid w:val="003349F0"/>
    <w:rsid w:val="003361D4"/>
    <w:rsid w:val="0034017E"/>
    <w:rsid w:val="00340E4F"/>
    <w:rsid w:val="003418D0"/>
    <w:rsid w:val="00341D94"/>
    <w:rsid w:val="00343C14"/>
    <w:rsid w:val="00343DC6"/>
    <w:rsid w:val="0034478D"/>
    <w:rsid w:val="00344B8F"/>
    <w:rsid w:val="0034570E"/>
    <w:rsid w:val="00345871"/>
    <w:rsid w:val="00346C3D"/>
    <w:rsid w:val="0035040D"/>
    <w:rsid w:val="00351C28"/>
    <w:rsid w:val="00354B28"/>
    <w:rsid w:val="00356BA6"/>
    <w:rsid w:val="003613C4"/>
    <w:rsid w:val="00363424"/>
    <w:rsid w:val="00363985"/>
    <w:rsid w:val="003644B9"/>
    <w:rsid w:val="00365F4C"/>
    <w:rsid w:val="003670D5"/>
    <w:rsid w:val="003705F2"/>
    <w:rsid w:val="00370BBC"/>
    <w:rsid w:val="0037122A"/>
    <w:rsid w:val="00373819"/>
    <w:rsid w:val="00375A1F"/>
    <w:rsid w:val="00376EC3"/>
    <w:rsid w:val="00385B4E"/>
    <w:rsid w:val="0038651A"/>
    <w:rsid w:val="003866DB"/>
    <w:rsid w:val="00386C11"/>
    <w:rsid w:val="00392B8A"/>
    <w:rsid w:val="003930B9"/>
    <w:rsid w:val="003A028C"/>
    <w:rsid w:val="003A04CB"/>
    <w:rsid w:val="003A21D6"/>
    <w:rsid w:val="003A27E4"/>
    <w:rsid w:val="003A31C2"/>
    <w:rsid w:val="003A48C4"/>
    <w:rsid w:val="003A5024"/>
    <w:rsid w:val="003A54E0"/>
    <w:rsid w:val="003B0A9D"/>
    <w:rsid w:val="003B0CB4"/>
    <w:rsid w:val="003B0E57"/>
    <w:rsid w:val="003B13D9"/>
    <w:rsid w:val="003B14CA"/>
    <w:rsid w:val="003B22B7"/>
    <w:rsid w:val="003B35AE"/>
    <w:rsid w:val="003B4A49"/>
    <w:rsid w:val="003B62B1"/>
    <w:rsid w:val="003C1107"/>
    <w:rsid w:val="003C4216"/>
    <w:rsid w:val="003C423F"/>
    <w:rsid w:val="003C5373"/>
    <w:rsid w:val="003C56BD"/>
    <w:rsid w:val="003C56C5"/>
    <w:rsid w:val="003C7DE8"/>
    <w:rsid w:val="003D0D51"/>
    <w:rsid w:val="003D256D"/>
    <w:rsid w:val="003D264E"/>
    <w:rsid w:val="003D2B1C"/>
    <w:rsid w:val="003D4E43"/>
    <w:rsid w:val="003D531F"/>
    <w:rsid w:val="003D7BD5"/>
    <w:rsid w:val="003E0F0F"/>
    <w:rsid w:val="003E523E"/>
    <w:rsid w:val="003E7AFF"/>
    <w:rsid w:val="003E7C2A"/>
    <w:rsid w:val="003F02CA"/>
    <w:rsid w:val="003F14F5"/>
    <w:rsid w:val="003F4A71"/>
    <w:rsid w:val="003F58EB"/>
    <w:rsid w:val="003F60CE"/>
    <w:rsid w:val="003F636E"/>
    <w:rsid w:val="004001F6"/>
    <w:rsid w:val="004005F0"/>
    <w:rsid w:val="004007A8"/>
    <w:rsid w:val="00402076"/>
    <w:rsid w:val="00404FAB"/>
    <w:rsid w:val="00406415"/>
    <w:rsid w:val="00406E87"/>
    <w:rsid w:val="004074CB"/>
    <w:rsid w:val="00407F4B"/>
    <w:rsid w:val="004107B4"/>
    <w:rsid w:val="00410EED"/>
    <w:rsid w:val="00411D6D"/>
    <w:rsid w:val="00412A96"/>
    <w:rsid w:val="00414F9E"/>
    <w:rsid w:val="004163C0"/>
    <w:rsid w:val="00417309"/>
    <w:rsid w:val="00420E5C"/>
    <w:rsid w:val="0042123B"/>
    <w:rsid w:val="004222BC"/>
    <w:rsid w:val="00424D88"/>
    <w:rsid w:val="00427831"/>
    <w:rsid w:val="00427F6C"/>
    <w:rsid w:val="0043048A"/>
    <w:rsid w:val="00430A01"/>
    <w:rsid w:val="00431681"/>
    <w:rsid w:val="004332B1"/>
    <w:rsid w:val="00434BE8"/>
    <w:rsid w:val="00434EAF"/>
    <w:rsid w:val="00435181"/>
    <w:rsid w:val="00436813"/>
    <w:rsid w:val="00436AE9"/>
    <w:rsid w:val="004414E5"/>
    <w:rsid w:val="00441E29"/>
    <w:rsid w:val="0044673F"/>
    <w:rsid w:val="004467A1"/>
    <w:rsid w:val="00446868"/>
    <w:rsid w:val="004469FD"/>
    <w:rsid w:val="00456233"/>
    <w:rsid w:val="00461C0A"/>
    <w:rsid w:val="004620CD"/>
    <w:rsid w:val="00463053"/>
    <w:rsid w:val="00463778"/>
    <w:rsid w:val="0046417F"/>
    <w:rsid w:val="004649A5"/>
    <w:rsid w:val="00466A24"/>
    <w:rsid w:val="00466FBC"/>
    <w:rsid w:val="00470466"/>
    <w:rsid w:val="00470B63"/>
    <w:rsid w:val="00472B3B"/>
    <w:rsid w:val="00473D48"/>
    <w:rsid w:val="0047446E"/>
    <w:rsid w:val="0047515F"/>
    <w:rsid w:val="0047528F"/>
    <w:rsid w:val="00480E22"/>
    <w:rsid w:val="00480F47"/>
    <w:rsid w:val="00483E53"/>
    <w:rsid w:val="00484D34"/>
    <w:rsid w:val="00485438"/>
    <w:rsid w:val="00485785"/>
    <w:rsid w:val="00486CDE"/>
    <w:rsid w:val="004906BD"/>
    <w:rsid w:val="004908E1"/>
    <w:rsid w:val="004947F8"/>
    <w:rsid w:val="0049665F"/>
    <w:rsid w:val="00497088"/>
    <w:rsid w:val="004973E6"/>
    <w:rsid w:val="004978DA"/>
    <w:rsid w:val="00497BD8"/>
    <w:rsid w:val="004A1A74"/>
    <w:rsid w:val="004A1D36"/>
    <w:rsid w:val="004A2FD6"/>
    <w:rsid w:val="004A415D"/>
    <w:rsid w:val="004A6403"/>
    <w:rsid w:val="004B0925"/>
    <w:rsid w:val="004B1582"/>
    <w:rsid w:val="004B2642"/>
    <w:rsid w:val="004B34F8"/>
    <w:rsid w:val="004B5249"/>
    <w:rsid w:val="004B62D2"/>
    <w:rsid w:val="004B6B7C"/>
    <w:rsid w:val="004B6EC4"/>
    <w:rsid w:val="004B7747"/>
    <w:rsid w:val="004B79A5"/>
    <w:rsid w:val="004C500C"/>
    <w:rsid w:val="004C6819"/>
    <w:rsid w:val="004D24F9"/>
    <w:rsid w:val="004D2852"/>
    <w:rsid w:val="004D2E5A"/>
    <w:rsid w:val="004D4D5B"/>
    <w:rsid w:val="004E241D"/>
    <w:rsid w:val="004E262F"/>
    <w:rsid w:val="004E3C30"/>
    <w:rsid w:val="004E5923"/>
    <w:rsid w:val="004E65F1"/>
    <w:rsid w:val="004E772B"/>
    <w:rsid w:val="004F4B76"/>
    <w:rsid w:val="004F61C2"/>
    <w:rsid w:val="004F67A2"/>
    <w:rsid w:val="005018F8"/>
    <w:rsid w:val="0050214F"/>
    <w:rsid w:val="00504378"/>
    <w:rsid w:val="00505E66"/>
    <w:rsid w:val="005067CC"/>
    <w:rsid w:val="0051183B"/>
    <w:rsid w:val="00511964"/>
    <w:rsid w:val="00515401"/>
    <w:rsid w:val="00515727"/>
    <w:rsid w:val="00515B35"/>
    <w:rsid w:val="00515D48"/>
    <w:rsid w:val="00516F5E"/>
    <w:rsid w:val="00522DD2"/>
    <w:rsid w:val="005316F2"/>
    <w:rsid w:val="0053282C"/>
    <w:rsid w:val="0054019B"/>
    <w:rsid w:val="00540677"/>
    <w:rsid w:val="005435D9"/>
    <w:rsid w:val="00544ACF"/>
    <w:rsid w:val="0054544E"/>
    <w:rsid w:val="00547EA9"/>
    <w:rsid w:val="00552EF7"/>
    <w:rsid w:val="005546C7"/>
    <w:rsid w:val="00555BDA"/>
    <w:rsid w:val="00557EF9"/>
    <w:rsid w:val="005631C8"/>
    <w:rsid w:val="00563A69"/>
    <w:rsid w:val="00565326"/>
    <w:rsid w:val="005658DA"/>
    <w:rsid w:val="00567B71"/>
    <w:rsid w:val="00567FF6"/>
    <w:rsid w:val="0057321E"/>
    <w:rsid w:val="00573B64"/>
    <w:rsid w:val="00573C99"/>
    <w:rsid w:val="00574784"/>
    <w:rsid w:val="005747C4"/>
    <w:rsid w:val="00575E0C"/>
    <w:rsid w:val="0057782E"/>
    <w:rsid w:val="00581D02"/>
    <w:rsid w:val="005845FF"/>
    <w:rsid w:val="00584A94"/>
    <w:rsid w:val="00585037"/>
    <w:rsid w:val="005902A1"/>
    <w:rsid w:val="00591EDC"/>
    <w:rsid w:val="00592405"/>
    <w:rsid w:val="00592987"/>
    <w:rsid w:val="0059384A"/>
    <w:rsid w:val="00594321"/>
    <w:rsid w:val="00596B0C"/>
    <w:rsid w:val="005973FC"/>
    <w:rsid w:val="005A6FFB"/>
    <w:rsid w:val="005A7F5B"/>
    <w:rsid w:val="005B1199"/>
    <w:rsid w:val="005B13E2"/>
    <w:rsid w:val="005B1B7D"/>
    <w:rsid w:val="005B4AE1"/>
    <w:rsid w:val="005B503A"/>
    <w:rsid w:val="005C07F7"/>
    <w:rsid w:val="005C093C"/>
    <w:rsid w:val="005C33C7"/>
    <w:rsid w:val="005C40E8"/>
    <w:rsid w:val="005C4F21"/>
    <w:rsid w:val="005C78FA"/>
    <w:rsid w:val="005D0E4F"/>
    <w:rsid w:val="005D13F7"/>
    <w:rsid w:val="005D1532"/>
    <w:rsid w:val="005D2BA3"/>
    <w:rsid w:val="005D2DDE"/>
    <w:rsid w:val="005D526F"/>
    <w:rsid w:val="005E25D4"/>
    <w:rsid w:val="005F14B5"/>
    <w:rsid w:val="005F15B6"/>
    <w:rsid w:val="005F30E4"/>
    <w:rsid w:val="005F3220"/>
    <w:rsid w:val="005F3856"/>
    <w:rsid w:val="005F5458"/>
    <w:rsid w:val="00600635"/>
    <w:rsid w:val="00601DFB"/>
    <w:rsid w:val="00603B77"/>
    <w:rsid w:val="00604A5F"/>
    <w:rsid w:val="00605179"/>
    <w:rsid w:val="00605558"/>
    <w:rsid w:val="00605F22"/>
    <w:rsid w:val="006075CC"/>
    <w:rsid w:val="00607729"/>
    <w:rsid w:val="0061013C"/>
    <w:rsid w:val="006169B6"/>
    <w:rsid w:val="00617E3B"/>
    <w:rsid w:val="006240C2"/>
    <w:rsid w:val="00625D86"/>
    <w:rsid w:val="00626074"/>
    <w:rsid w:val="006265F2"/>
    <w:rsid w:val="00626DE1"/>
    <w:rsid w:val="00626FE4"/>
    <w:rsid w:val="006324D4"/>
    <w:rsid w:val="006328EA"/>
    <w:rsid w:val="00633262"/>
    <w:rsid w:val="00633733"/>
    <w:rsid w:val="0063708A"/>
    <w:rsid w:val="0063719C"/>
    <w:rsid w:val="006375F8"/>
    <w:rsid w:val="00642C26"/>
    <w:rsid w:val="00643891"/>
    <w:rsid w:val="006443FF"/>
    <w:rsid w:val="00646383"/>
    <w:rsid w:val="006475E1"/>
    <w:rsid w:val="00647F36"/>
    <w:rsid w:val="00652CC4"/>
    <w:rsid w:val="00652FB4"/>
    <w:rsid w:val="006541B0"/>
    <w:rsid w:val="006558D4"/>
    <w:rsid w:val="00656638"/>
    <w:rsid w:val="00657CD6"/>
    <w:rsid w:val="0066054B"/>
    <w:rsid w:val="006617ED"/>
    <w:rsid w:val="006623C0"/>
    <w:rsid w:val="0066331F"/>
    <w:rsid w:val="0066378B"/>
    <w:rsid w:val="00664A5E"/>
    <w:rsid w:val="00666E15"/>
    <w:rsid w:val="006703D6"/>
    <w:rsid w:val="006714AF"/>
    <w:rsid w:val="006721EC"/>
    <w:rsid w:val="00673C27"/>
    <w:rsid w:val="0067411A"/>
    <w:rsid w:val="00675FC2"/>
    <w:rsid w:val="00675FE0"/>
    <w:rsid w:val="00676737"/>
    <w:rsid w:val="00676A34"/>
    <w:rsid w:val="00677A16"/>
    <w:rsid w:val="00681BCE"/>
    <w:rsid w:val="00682446"/>
    <w:rsid w:val="00682FDB"/>
    <w:rsid w:val="00685508"/>
    <w:rsid w:val="006869C4"/>
    <w:rsid w:val="00690433"/>
    <w:rsid w:val="00690826"/>
    <w:rsid w:val="0069419F"/>
    <w:rsid w:val="006957A8"/>
    <w:rsid w:val="00695E96"/>
    <w:rsid w:val="00696982"/>
    <w:rsid w:val="006975DC"/>
    <w:rsid w:val="006979B4"/>
    <w:rsid w:val="006A0158"/>
    <w:rsid w:val="006A0F1B"/>
    <w:rsid w:val="006A301E"/>
    <w:rsid w:val="006A346D"/>
    <w:rsid w:val="006A3ECD"/>
    <w:rsid w:val="006A52F6"/>
    <w:rsid w:val="006A530F"/>
    <w:rsid w:val="006A66C7"/>
    <w:rsid w:val="006A75CD"/>
    <w:rsid w:val="006B090C"/>
    <w:rsid w:val="006B252F"/>
    <w:rsid w:val="006B3A40"/>
    <w:rsid w:val="006B46A2"/>
    <w:rsid w:val="006B5A74"/>
    <w:rsid w:val="006C0702"/>
    <w:rsid w:val="006C0AF9"/>
    <w:rsid w:val="006C0C7B"/>
    <w:rsid w:val="006C12D1"/>
    <w:rsid w:val="006C278B"/>
    <w:rsid w:val="006C5109"/>
    <w:rsid w:val="006C6AF2"/>
    <w:rsid w:val="006C7C46"/>
    <w:rsid w:val="006D0052"/>
    <w:rsid w:val="006D1C43"/>
    <w:rsid w:val="006D3D55"/>
    <w:rsid w:val="006D66B0"/>
    <w:rsid w:val="006D6EB1"/>
    <w:rsid w:val="006D6F9C"/>
    <w:rsid w:val="006D770F"/>
    <w:rsid w:val="006E034D"/>
    <w:rsid w:val="006E0DC5"/>
    <w:rsid w:val="006E3CEA"/>
    <w:rsid w:val="006E4400"/>
    <w:rsid w:val="006E47A1"/>
    <w:rsid w:val="006E5E1D"/>
    <w:rsid w:val="006E7721"/>
    <w:rsid w:val="006F10A5"/>
    <w:rsid w:val="006F5445"/>
    <w:rsid w:val="006F73E6"/>
    <w:rsid w:val="00701618"/>
    <w:rsid w:val="00701E28"/>
    <w:rsid w:val="00702F1A"/>
    <w:rsid w:val="007038CE"/>
    <w:rsid w:val="00704213"/>
    <w:rsid w:val="00704EF1"/>
    <w:rsid w:val="0070536C"/>
    <w:rsid w:val="007067DB"/>
    <w:rsid w:val="007101DC"/>
    <w:rsid w:val="007110DB"/>
    <w:rsid w:val="00711399"/>
    <w:rsid w:val="007130C3"/>
    <w:rsid w:val="0071342C"/>
    <w:rsid w:val="0071388A"/>
    <w:rsid w:val="00720574"/>
    <w:rsid w:val="00721433"/>
    <w:rsid w:val="00725D16"/>
    <w:rsid w:val="00725F7A"/>
    <w:rsid w:val="00727375"/>
    <w:rsid w:val="00733B70"/>
    <w:rsid w:val="00734E38"/>
    <w:rsid w:val="00737E6B"/>
    <w:rsid w:val="00741317"/>
    <w:rsid w:val="00741A27"/>
    <w:rsid w:val="0074214B"/>
    <w:rsid w:val="00742587"/>
    <w:rsid w:val="00742E87"/>
    <w:rsid w:val="007502D7"/>
    <w:rsid w:val="00750E0D"/>
    <w:rsid w:val="00751A45"/>
    <w:rsid w:val="00752AD2"/>
    <w:rsid w:val="0075417B"/>
    <w:rsid w:val="0075498F"/>
    <w:rsid w:val="00754F32"/>
    <w:rsid w:val="00763D2B"/>
    <w:rsid w:val="007703CB"/>
    <w:rsid w:val="00770614"/>
    <w:rsid w:val="00772DB5"/>
    <w:rsid w:val="0077375E"/>
    <w:rsid w:val="00774771"/>
    <w:rsid w:val="00775AFC"/>
    <w:rsid w:val="0078043F"/>
    <w:rsid w:val="007806FB"/>
    <w:rsid w:val="0078162A"/>
    <w:rsid w:val="00781DBB"/>
    <w:rsid w:val="007821C7"/>
    <w:rsid w:val="00782353"/>
    <w:rsid w:val="00782D3A"/>
    <w:rsid w:val="00783BF4"/>
    <w:rsid w:val="00786545"/>
    <w:rsid w:val="00791D90"/>
    <w:rsid w:val="007920A3"/>
    <w:rsid w:val="00796E9C"/>
    <w:rsid w:val="00797572"/>
    <w:rsid w:val="00797DDF"/>
    <w:rsid w:val="007A118F"/>
    <w:rsid w:val="007A3E9A"/>
    <w:rsid w:val="007A5E32"/>
    <w:rsid w:val="007A6243"/>
    <w:rsid w:val="007A69BA"/>
    <w:rsid w:val="007B20E0"/>
    <w:rsid w:val="007B52D0"/>
    <w:rsid w:val="007B5B6F"/>
    <w:rsid w:val="007B69D7"/>
    <w:rsid w:val="007B7CE6"/>
    <w:rsid w:val="007C12F8"/>
    <w:rsid w:val="007C1456"/>
    <w:rsid w:val="007C400C"/>
    <w:rsid w:val="007C7C21"/>
    <w:rsid w:val="007C7C85"/>
    <w:rsid w:val="007C7C86"/>
    <w:rsid w:val="007D06AD"/>
    <w:rsid w:val="007D2421"/>
    <w:rsid w:val="007D3938"/>
    <w:rsid w:val="007D44AE"/>
    <w:rsid w:val="007D6CFE"/>
    <w:rsid w:val="007E1549"/>
    <w:rsid w:val="007E328B"/>
    <w:rsid w:val="007E3FE8"/>
    <w:rsid w:val="007E577F"/>
    <w:rsid w:val="007E67B4"/>
    <w:rsid w:val="007E6C3C"/>
    <w:rsid w:val="007E754C"/>
    <w:rsid w:val="007E75B1"/>
    <w:rsid w:val="007E76C4"/>
    <w:rsid w:val="007F09F0"/>
    <w:rsid w:val="007F1CE5"/>
    <w:rsid w:val="007F2ABE"/>
    <w:rsid w:val="007F2FAC"/>
    <w:rsid w:val="007F3B5A"/>
    <w:rsid w:val="007F4064"/>
    <w:rsid w:val="007F4223"/>
    <w:rsid w:val="007F5972"/>
    <w:rsid w:val="007F5A7E"/>
    <w:rsid w:val="007F726C"/>
    <w:rsid w:val="007F7FF3"/>
    <w:rsid w:val="008013B5"/>
    <w:rsid w:val="00802AA6"/>
    <w:rsid w:val="00804CCD"/>
    <w:rsid w:val="00804D73"/>
    <w:rsid w:val="00804FA9"/>
    <w:rsid w:val="00805BCB"/>
    <w:rsid w:val="00807E73"/>
    <w:rsid w:val="00810F61"/>
    <w:rsid w:val="00811E1B"/>
    <w:rsid w:val="008127F7"/>
    <w:rsid w:val="00812EB3"/>
    <w:rsid w:val="00813241"/>
    <w:rsid w:val="00813395"/>
    <w:rsid w:val="008134CE"/>
    <w:rsid w:val="008136BE"/>
    <w:rsid w:val="0081517F"/>
    <w:rsid w:val="00816723"/>
    <w:rsid w:val="00816EB8"/>
    <w:rsid w:val="00817376"/>
    <w:rsid w:val="00817CA3"/>
    <w:rsid w:val="00821F26"/>
    <w:rsid w:val="00821F8E"/>
    <w:rsid w:val="0082523A"/>
    <w:rsid w:val="00830EB9"/>
    <w:rsid w:val="00833F7C"/>
    <w:rsid w:val="00835F80"/>
    <w:rsid w:val="00836A62"/>
    <w:rsid w:val="00844451"/>
    <w:rsid w:val="00844A1D"/>
    <w:rsid w:val="00845C86"/>
    <w:rsid w:val="00845FEA"/>
    <w:rsid w:val="00846132"/>
    <w:rsid w:val="00847C0B"/>
    <w:rsid w:val="008516F8"/>
    <w:rsid w:val="00852CFC"/>
    <w:rsid w:val="00853FF5"/>
    <w:rsid w:val="00854C4C"/>
    <w:rsid w:val="008561E8"/>
    <w:rsid w:val="00860678"/>
    <w:rsid w:val="00863B58"/>
    <w:rsid w:val="00864A48"/>
    <w:rsid w:val="008657EB"/>
    <w:rsid w:val="00866D1E"/>
    <w:rsid w:val="00872E1D"/>
    <w:rsid w:val="00882878"/>
    <w:rsid w:val="00886B8C"/>
    <w:rsid w:val="00887261"/>
    <w:rsid w:val="00887318"/>
    <w:rsid w:val="00887EAA"/>
    <w:rsid w:val="00891D17"/>
    <w:rsid w:val="00891D59"/>
    <w:rsid w:val="008958EC"/>
    <w:rsid w:val="008A3B74"/>
    <w:rsid w:val="008A59F5"/>
    <w:rsid w:val="008A7FDA"/>
    <w:rsid w:val="008B0AC2"/>
    <w:rsid w:val="008B1515"/>
    <w:rsid w:val="008B15FF"/>
    <w:rsid w:val="008B2BB8"/>
    <w:rsid w:val="008B7370"/>
    <w:rsid w:val="008B7BAE"/>
    <w:rsid w:val="008C02C0"/>
    <w:rsid w:val="008C4AE7"/>
    <w:rsid w:val="008D00EC"/>
    <w:rsid w:val="008D1573"/>
    <w:rsid w:val="008D3436"/>
    <w:rsid w:val="008D47FB"/>
    <w:rsid w:val="008D4F3C"/>
    <w:rsid w:val="008D69D7"/>
    <w:rsid w:val="008D7DE9"/>
    <w:rsid w:val="008E07FF"/>
    <w:rsid w:val="008E34CD"/>
    <w:rsid w:val="008E5F35"/>
    <w:rsid w:val="008F1B7B"/>
    <w:rsid w:val="008F492E"/>
    <w:rsid w:val="008F667F"/>
    <w:rsid w:val="008F70CF"/>
    <w:rsid w:val="008F7849"/>
    <w:rsid w:val="009004BE"/>
    <w:rsid w:val="00900F08"/>
    <w:rsid w:val="0090160F"/>
    <w:rsid w:val="00901912"/>
    <w:rsid w:val="009030E1"/>
    <w:rsid w:val="00907912"/>
    <w:rsid w:val="009120E8"/>
    <w:rsid w:val="0091256F"/>
    <w:rsid w:val="00912BF2"/>
    <w:rsid w:val="009138B3"/>
    <w:rsid w:val="009154A8"/>
    <w:rsid w:val="00916EAB"/>
    <w:rsid w:val="00917AF9"/>
    <w:rsid w:val="00920D05"/>
    <w:rsid w:val="00921C8B"/>
    <w:rsid w:val="00922741"/>
    <w:rsid w:val="0092312A"/>
    <w:rsid w:val="00923705"/>
    <w:rsid w:val="00924D2C"/>
    <w:rsid w:val="009257B9"/>
    <w:rsid w:val="00925DD6"/>
    <w:rsid w:val="00927FB9"/>
    <w:rsid w:val="009305E2"/>
    <w:rsid w:val="00932502"/>
    <w:rsid w:val="00932E05"/>
    <w:rsid w:val="0093702F"/>
    <w:rsid w:val="00950E54"/>
    <w:rsid w:val="0095282C"/>
    <w:rsid w:val="00954A2A"/>
    <w:rsid w:val="00955BAD"/>
    <w:rsid w:val="00956F48"/>
    <w:rsid w:val="00961E22"/>
    <w:rsid w:val="00964870"/>
    <w:rsid w:val="009652FA"/>
    <w:rsid w:val="0096652D"/>
    <w:rsid w:val="009675CE"/>
    <w:rsid w:val="009676D5"/>
    <w:rsid w:val="00967750"/>
    <w:rsid w:val="00973309"/>
    <w:rsid w:val="00975E0B"/>
    <w:rsid w:val="00977B71"/>
    <w:rsid w:val="00980321"/>
    <w:rsid w:val="00981338"/>
    <w:rsid w:val="00985BBD"/>
    <w:rsid w:val="00986673"/>
    <w:rsid w:val="00990BEB"/>
    <w:rsid w:val="00992089"/>
    <w:rsid w:val="009922D4"/>
    <w:rsid w:val="00993377"/>
    <w:rsid w:val="00993AF7"/>
    <w:rsid w:val="0099468C"/>
    <w:rsid w:val="0099476B"/>
    <w:rsid w:val="00994F0A"/>
    <w:rsid w:val="009A094C"/>
    <w:rsid w:val="009A2221"/>
    <w:rsid w:val="009A30DD"/>
    <w:rsid w:val="009A5228"/>
    <w:rsid w:val="009A6A89"/>
    <w:rsid w:val="009B082D"/>
    <w:rsid w:val="009B381A"/>
    <w:rsid w:val="009B39FF"/>
    <w:rsid w:val="009B4895"/>
    <w:rsid w:val="009B619B"/>
    <w:rsid w:val="009B6DC8"/>
    <w:rsid w:val="009B70D3"/>
    <w:rsid w:val="009C1AFC"/>
    <w:rsid w:val="009C30F4"/>
    <w:rsid w:val="009C354E"/>
    <w:rsid w:val="009C38E2"/>
    <w:rsid w:val="009C447C"/>
    <w:rsid w:val="009C62C6"/>
    <w:rsid w:val="009D05D7"/>
    <w:rsid w:val="009D101D"/>
    <w:rsid w:val="009D1403"/>
    <w:rsid w:val="009D1C10"/>
    <w:rsid w:val="009D42EB"/>
    <w:rsid w:val="009D5DFD"/>
    <w:rsid w:val="009E16BA"/>
    <w:rsid w:val="009E2941"/>
    <w:rsid w:val="009E2A2D"/>
    <w:rsid w:val="009E3ED7"/>
    <w:rsid w:val="009E7E66"/>
    <w:rsid w:val="009F0470"/>
    <w:rsid w:val="009F1506"/>
    <w:rsid w:val="009F263D"/>
    <w:rsid w:val="009F34CD"/>
    <w:rsid w:val="009F5B80"/>
    <w:rsid w:val="009F6A3D"/>
    <w:rsid w:val="009F7F65"/>
    <w:rsid w:val="00A00053"/>
    <w:rsid w:val="00A01B0A"/>
    <w:rsid w:val="00A02E0B"/>
    <w:rsid w:val="00A03699"/>
    <w:rsid w:val="00A053F1"/>
    <w:rsid w:val="00A10161"/>
    <w:rsid w:val="00A11252"/>
    <w:rsid w:val="00A14980"/>
    <w:rsid w:val="00A152CB"/>
    <w:rsid w:val="00A153B5"/>
    <w:rsid w:val="00A15404"/>
    <w:rsid w:val="00A17510"/>
    <w:rsid w:val="00A2410E"/>
    <w:rsid w:val="00A274C1"/>
    <w:rsid w:val="00A31E61"/>
    <w:rsid w:val="00A32A10"/>
    <w:rsid w:val="00A33A52"/>
    <w:rsid w:val="00A42D05"/>
    <w:rsid w:val="00A44BA1"/>
    <w:rsid w:val="00A51C1B"/>
    <w:rsid w:val="00A53AC2"/>
    <w:rsid w:val="00A576A6"/>
    <w:rsid w:val="00A601A7"/>
    <w:rsid w:val="00A639BF"/>
    <w:rsid w:val="00A65A28"/>
    <w:rsid w:val="00A679F8"/>
    <w:rsid w:val="00A71C86"/>
    <w:rsid w:val="00A730A5"/>
    <w:rsid w:val="00A7453A"/>
    <w:rsid w:val="00A75FE0"/>
    <w:rsid w:val="00A767E6"/>
    <w:rsid w:val="00A76987"/>
    <w:rsid w:val="00A81A1F"/>
    <w:rsid w:val="00A81C85"/>
    <w:rsid w:val="00A845D1"/>
    <w:rsid w:val="00A84F54"/>
    <w:rsid w:val="00A901A6"/>
    <w:rsid w:val="00A933B9"/>
    <w:rsid w:val="00A94088"/>
    <w:rsid w:val="00A97E87"/>
    <w:rsid w:val="00AA0782"/>
    <w:rsid w:val="00AB0E75"/>
    <w:rsid w:val="00AB2385"/>
    <w:rsid w:val="00AB2817"/>
    <w:rsid w:val="00AB41A8"/>
    <w:rsid w:val="00AB5EEC"/>
    <w:rsid w:val="00AB6E90"/>
    <w:rsid w:val="00AB6F0C"/>
    <w:rsid w:val="00AC10E7"/>
    <w:rsid w:val="00AC1C8A"/>
    <w:rsid w:val="00AC342A"/>
    <w:rsid w:val="00AC3FE3"/>
    <w:rsid w:val="00AC4219"/>
    <w:rsid w:val="00AC5A14"/>
    <w:rsid w:val="00AD21E3"/>
    <w:rsid w:val="00AD3353"/>
    <w:rsid w:val="00AD3C53"/>
    <w:rsid w:val="00AD3C54"/>
    <w:rsid w:val="00AD437E"/>
    <w:rsid w:val="00AE0545"/>
    <w:rsid w:val="00AE53B7"/>
    <w:rsid w:val="00AE5C3B"/>
    <w:rsid w:val="00AE62ED"/>
    <w:rsid w:val="00AE7967"/>
    <w:rsid w:val="00AE7CDA"/>
    <w:rsid w:val="00AF72D8"/>
    <w:rsid w:val="00B0301D"/>
    <w:rsid w:val="00B044D5"/>
    <w:rsid w:val="00B05E39"/>
    <w:rsid w:val="00B11FE7"/>
    <w:rsid w:val="00B12D43"/>
    <w:rsid w:val="00B12E61"/>
    <w:rsid w:val="00B16D6E"/>
    <w:rsid w:val="00B175E4"/>
    <w:rsid w:val="00B20093"/>
    <w:rsid w:val="00B2153B"/>
    <w:rsid w:val="00B2253B"/>
    <w:rsid w:val="00B2285F"/>
    <w:rsid w:val="00B231FB"/>
    <w:rsid w:val="00B2506A"/>
    <w:rsid w:val="00B25C2C"/>
    <w:rsid w:val="00B2754A"/>
    <w:rsid w:val="00B305DB"/>
    <w:rsid w:val="00B30E9E"/>
    <w:rsid w:val="00B31E0C"/>
    <w:rsid w:val="00B32522"/>
    <w:rsid w:val="00B325DC"/>
    <w:rsid w:val="00B34C3F"/>
    <w:rsid w:val="00B35EF8"/>
    <w:rsid w:val="00B37F0A"/>
    <w:rsid w:val="00B43619"/>
    <w:rsid w:val="00B43DAA"/>
    <w:rsid w:val="00B441EB"/>
    <w:rsid w:val="00B46320"/>
    <w:rsid w:val="00B4798D"/>
    <w:rsid w:val="00B53981"/>
    <w:rsid w:val="00B55488"/>
    <w:rsid w:val="00B563E8"/>
    <w:rsid w:val="00B57444"/>
    <w:rsid w:val="00B62A1D"/>
    <w:rsid w:val="00B65B85"/>
    <w:rsid w:val="00B670C9"/>
    <w:rsid w:val="00B676B4"/>
    <w:rsid w:val="00B71771"/>
    <w:rsid w:val="00B7428D"/>
    <w:rsid w:val="00B74551"/>
    <w:rsid w:val="00B745D9"/>
    <w:rsid w:val="00B75949"/>
    <w:rsid w:val="00B76AF7"/>
    <w:rsid w:val="00B76E4E"/>
    <w:rsid w:val="00B81C43"/>
    <w:rsid w:val="00B84267"/>
    <w:rsid w:val="00B9034A"/>
    <w:rsid w:val="00B908C1"/>
    <w:rsid w:val="00B90C17"/>
    <w:rsid w:val="00B936C1"/>
    <w:rsid w:val="00B94F2D"/>
    <w:rsid w:val="00BA2C52"/>
    <w:rsid w:val="00BA2D10"/>
    <w:rsid w:val="00BA305D"/>
    <w:rsid w:val="00BA3BC9"/>
    <w:rsid w:val="00BB0D86"/>
    <w:rsid w:val="00BB1AD1"/>
    <w:rsid w:val="00BB2077"/>
    <w:rsid w:val="00BB30A6"/>
    <w:rsid w:val="00BB4872"/>
    <w:rsid w:val="00BB6226"/>
    <w:rsid w:val="00BB7F83"/>
    <w:rsid w:val="00BC02EF"/>
    <w:rsid w:val="00BC07E2"/>
    <w:rsid w:val="00BC1F76"/>
    <w:rsid w:val="00BC2810"/>
    <w:rsid w:val="00BC33B5"/>
    <w:rsid w:val="00BC4627"/>
    <w:rsid w:val="00BC56DA"/>
    <w:rsid w:val="00BD0C94"/>
    <w:rsid w:val="00BD155D"/>
    <w:rsid w:val="00BD1BF6"/>
    <w:rsid w:val="00BD20F8"/>
    <w:rsid w:val="00BD23D5"/>
    <w:rsid w:val="00BD2910"/>
    <w:rsid w:val="00BD2D3F"/>
    <w:rsid w:val="00BD4539"/>
    <w:rsid w:val="00BD4710"/>
    <w:rsid w:val="00BD7EFB"/>
    <w:rsid w:val="00BE0E0A"/>
    <w:rsid w:val="00BE2B99"/>
    <w:rsid w:val="00BE32BD"/>
    <w:rsid w:val="00BE4803"/>
    <w:rsid w:val="00BE720C"/>
    <w:rsid w:val="00BE7770"/>
    <w:rsid w:val="00BF07C6"/>
    <w:rsid w:val="00BF3399"/>
    <w:rsid w:val="00BF4EDB"/>
    <w:rsid w:val="00BF6619"/>
    <w:rsid w:val="00BF7762"/>
    <w:rsid w:val="00C01A21"/>
    <w:rsid w:val="00C02278"/>
    <w:rsid w:val="00C02C75"/>
    <w:rsid w:val="00C02DC9"/>
    <w:rsid w:val="00C040E9"/>
    <w:rsid w:val="00C04D55"/>
    <w:rsid w:val="00C11581"/>
    <w:rsid w:val="00C11F34"/>
    <w:rsid w:val="00C13138"/>
    <w:rsid w:val="00C15A76"/>
    <w:rsid w:val="00C15ED8"/>
    <w:rsid w:val="00C17221"/>
    <w:rsid w:val="00C200C1"/>
    <w:rsid w:val="00C23843"/>
    <w:rsid w:val="00C23A48"/>
    <w:rsid w:val="00C23AF3"/>
    <w:rsid w:val="00C24C76"/>
    <w:rsid w:val="00C27789"/>
    <w:rsid w:val="00C30867"/>
    <w:rsid w:val="00C30C6A"/>
    <w:rsid w:val="00C3181F"/>
    <w:rsid w:val="00C31F89"/>
    <w:rsid w:val="00C32389"/>
    <w:rsid w:val="00C33E62"/>
    <w:rsid w:val="00C34143"/>
    <w:rsid w:val="00C35F68"/>
    <w:rsid w:val="00C36149"/>
    <w:rsid w:val="00C40D79"/>
    <w:rsid w:val="00C40D95"/>
    <w:rsid w:val="00C42F89"/>
    <w:rsid w:val="00C431A0"/>
    <w:rsid w:val="00C4357F"/>
    <w:rsid w:val="00C43878"/>
    <w:rsid w:val="00C43E79"/>
    <w:rsid w:val="00C46986"/>
    <w:rsid w:val="00C47A11"/>
    <w:rsid w:val="00C51D4D"/>
    <w:rsid w:val="00C52206"/>
    <w:rsid w:val="00C527F9"/>
    <w:rsid w:val="00C52B1B"/>
    <w:rsid w:val="00C53585"/>
    <w:rsid w:val="00C53E45"/>
    <w:rsid w:val="00C619B6"/>
    <w:rsid w:val="00C6627A"/>
    <w:rsid w:val="00C727EC"/>
    <w:rsid w:val="00C729A3"/>
    <w:rsid w:val="00C74208"/>
    <w:rsid w:val="00C74498"/>
    <w:rsid w:val="00C752BE"/>
    <w:rsid w:val="00C7752C"/>
    <w:rsid w:val="00C809E6"/>
    <w:rsid w:val="00C8448A"/>
    <w:rsid w:val="00C8517A"/>
    <w:rsid w:val="00C868CB"/>
    <w:rsid w:val="00C875AA"/>
    <w:rsid w:val="00C90219"/>
    <w:rsid w:val="00C90C3B"/>
    <w:rsid w:val="00C913CC"/>
    <w:rsid w:val="00C93C60"/>
    <w:rsid w:val="00C96F80"/>
    <w:rsid w:val="00C97F43"/>
    <w:rsid w:val="00CA417E"/>
    <w:rsid w:val="00CA517E"/>
    <w:rsid w:val="00CA5EA6"/>
    <w:rsid w:val="00CA657F"/>
    <w:rsid w:val="00CA7C9F"/>
    <w:rsid w:val="00CB00F9"/>
    <w:rsid w:val="00CB1CE5"/>
    <w:rsid w:val="00CB3F12"/>
    <w:rsid w:val="00CB5699"/>
    <w:rsid w:val="00CB60E6"/>
    <w:rsid w:val="00CC045D"/>
    <w:rsid w:val="00CC1042"/>
    <w:rsid w:val="00CC1613"/>
    <w:rsid w:val="00CC2EEF"/>
    <w:rsid w:val="00CC6398"/>
    <w:rsid w:val="00CD0245"/>
    <w:rsid w:val="00CD1AF3"/>
    <w:rsid w:val="00CD267A"/>
    <w:rsid w:val="00CD484C"/>
    <w:rsid w:val="00CD7C14"/>
    <w:rsid w:val="00CE2232"/>
    <w:rsid w:val="00CE39CF"/>
    <w:rsid w:val="00CE6A2D"/>
    <w:rsid w:val="00CE755C"/>
    <w:rsid w:val="00CE7936"/>
    <w:rsid w:val="00CF04FB"/>
    <w:rsid w:val="00CF3664"/>
    <w:rsid w:val="00CF4382"/>
    <w:rsid w:val="00CF50B2"/>
    <w:rsid w:val="00CF68CF"/>
    <w:rsid w:val="00CF723F"/>
    <w:rsid w:val="00CF7523"/>
    <w:rsid w:val="00CF7EF2"/>
    <w:rsid w:val="00D04D4F"/>
    <w:rsid w:val="00D04DE6"/>
    <w:rsid w:val="00D055EF"/>
    <w:rsid w:val="00D05C0C"/>
    <w:rsid w:val="00D1386B"/>
    <w:rsid w:val="00D1431F"/>
    <w:rsid w:val="00D14B32"/>
    <w:rsid w:val="00D15524"/>
    <w:rsid w:val="00D156E3"/>
    <w:rsid w:val="00D15C6F"/>
    <w:rsid w:val="00D15E69"/>
    <w:rsid w:val="00D2080A"/>
    <w:rsid w:val="00D258B9"/>
    <w:rsid w:val="00D2601B"/>
    <w:rsid w:val="00D26864"/>
    <w:rsid w:val="00D2773A"/>
    <w:rsid w:val="00D2776B"/>
    <w:rsid w:val="00D27ACC"/>
    <w:rsid w:val="00D316EA"/>
    <w:rsid w:val="00D32B0C"/>
    <w:rsid w:val="00D33296"/>
    <w:rsid w:val="00D36938"/>
    <w:rsid w:val="00D37DAD"/>
    <w:rsid w:val="00D40205"/>
    <w:rsid w:val="00D41518"/>
    <w:rsid w:val="00D41EA6"/>
    <w:rsid w:val="00D41FF5"/>
    <w:rsid w:val="00D42A2A"/>
    <w:rsid w:val="00D462EC"/>
    <w:rsid w:val="00D47AF0"/>
    <w:rsid w:val="00D47BF8"/>
    <w:rsid w:val="00D511F4"/>
    <w:rsid w:val="00D530D6"/>
    <w:rsid w:val="00D53651"/>
    <w:rsid w:val="00D557A7"/>
    <w:rsid w:val="00D56288"/>
    <w:rsid w:val="00D6303F"/>
    <w:rsid w:val="00D630C1"/>
    <w:rsid w:val="00D63B13"/>
    <w:rsid w:val="00D65987"/>
    <w:rsid w:val="00D65C63"/>
    <w:rsid w:val="00D70A30"/>
    <w:rsid w:val="00D7223E"/>
    <w:rsid w:val="00D726E8"/>
    <w:rsid w:val="00D73299"/>
    <w:rsid w:val="00D743FD"/>
    <w:rsid w:val="00D77595"/>
    <w:rsid w:val="00D803FE"/>
    <w:rsid w:val="00D829FD"/>
    <w:rsid w:val="00D86319"/>
    <w:rsid w:val="00D86756"/>
    <w:rsid w:val="00D86905"/>
    <w:rsid w:val="00D86EF4"/>
    <w:rsid w:val="00D87D58"/>
    <w:rsid w:val="00D9610E"/>
    <w:rsid w:val="00D978AE"/>
    <w:rsid w:val="00D97AA7"/>
    <w:rsid w:val="00DA6A36"/>
    <w:rsid w:val="00DA7605"/>
    <w:rsid w:val="00DA7906"/>
    <w:rsid w:val="00DB3738"/>
    <w:rsid w:val="00DB3AC9"/>
    <w:rsid w:val="00DB4887"/>
    <w:rsid w:val="00DB69F7"/>
    <w:rsid w:val="00DB6D35"/>
    <w:rsid w:val="00DB7912"/>
    <w:rsid w:val="00DC1D43"/>
    <w:rsid w:val="00DC4C39"/>
    <w:rsid w:val="00DC5445"/>
    <w:rsid w:val="00DC56DD"/>
    <w:rsid w:val="00DC77FE"/>
    <w:rsid w:val="00DD00E2"/>
    <w:rsid w:val="00DD239C"/>
    <w:rsid w:val="00DD31F9"/>
    <w:rsid w:val="00DD39FB"/>
    <w:rsid w:val="00DD4F32"/>
    <w:rsid w:val="00DD546C"/>
    <w:rsid w:val="00DD558B"/>
    <w:rsid w:val="00DD5AC3"/>
    <w:rsid w:val="00DD6EFD"/>
    <w:rsid w:val="00DE0BBE"/>
    <w:rsid w:val="00DE2A00"/>
    <w:rsid w:val="00DE2E19"/>
    <w:rsid w:val="00DE4D38"/>
    <w:rsid w:val="00DE7171"/>
    <w:rsid w:val="00DF0208"/>
    <w:rsid w:val="00DF195E"/>
    <w:rsid w:val="00DF2659"/>
    <w:rsid w:val="00DF2A0C"/>
    <w:rsid w:val="00DF3006"/>
    <w:rsid w:val="00DF5DA7"/>
    <w:rsid w:val="00E008D1"/>
    <w:rsid w:val="00E05231"/>
    <w:rsid w:val="00E057C4"/>
    <w:rsid w:val="00E069DD"/>
    <w:rsid w:val="00E13752"/>
    <w:rsid w:val="00E14299"/>
    <w:rsid w:val="00E1548F"/>
    <w:rsid w:val="00E17143"/>
    <w:rsid w:val="00E17BFA"/>
    <w:rsid w:val="00E21804"/>
    <w:rsid w:val="00E22298"/>
    <w:rsid w:val="00E24ECB"/>
    <w:rsid w:val="00E26C52"/>
    <w:rsid w:val="00E34657"/>
    <w:rsid w:val="00E36262"/>
    <w:rsid w:val="00E409AE"/>
    <w:rsid w:val="00E42081"/>
    <w:rsid w:val="00E44C4C"/>
    <w:rsid w:val="00E5137D"/>
    <w:rsid w:val="00E55AB9"/>
    <w:rsid w:val="00E560F3"/>
    <w:rsid w:val="00E5795E"/>
    <w:rsid w:val="00E57D8C"/>
    <w:rsid w:val="00E60E53"/>
    <w:rsid w:val="00E63DC2"/>
    <w:rsid w:val="00E65CAA"/>
    <w:rsid w:val="00E6757F"/>
    <w:rsid w:val="00E675FC"/>
    <w:rsid w:val="00E70EDF"/>
    <w:rsid w:val="00E70FB9"/>
    <w:rsid w:val="00E71849"/>
    <w:rsid w:val="00E72C46"/>
    <w:rsid w:val="00E730D4"/>
    <w:rsid w:val="00E74EBD"/>
    <w:rsid w:val="00E75510"/>
    <w:rsid w:val="00E756D8"/>
    <w:rsid w:val="00E80654"/>
    <w:rsid w:val="00E8095C"/>
    <w:rsid w:val="00E80B09"/>
    <w:rsid w:val="00E820D5"/>
    <w:rsid w:val="00E85235"/>
    <w:rsid w:val="00E87AE8"/>
    <w:rsid w:val="00E9408D"/>
    <w:rsid w:val="00E97D66"/>
    <w:rsid w:val="00EA09DF"/>
    <w:rsid w:val="00EA1A7C"/>
    <w:rsid w:val="00EA3DBA"/>
    <w:rsid w:val="00EA594D"/>
    <w:rsid w:val="00EA5EF3"/>
    <w:rsid w:val="00EB3092"/>
    <w:rsid w:val="00EB4E53"/>
    <w:rsid w:val="00EB7566"/>
    <w:rsid w:val="00EC044E"/>
    <w:rsid w:val="00EC0E5E"/>
    <w:rsid w:val="00EC1427"/>
    <w:rsid w:val="00EC1937"/>
    <w:rsid w:val="00EC44B7"/>
    <w:rsid w:val="00EC56FA"/>
    <w:rsid w:val="00EC5E6E"/>
    <w:rsid w:val="00EC6743"/>
    <w:rsid w:val="00ED5AB5"/>
    <w:rsid w:val="00ED7B7C"/>
    <w:rsid w:val="00EE57B9"/>
    <w:rsid w:val="00EE60E7"/>
    <w:rsid w:val="00EE659E"/>
    <w:rsid w:val="00EE6D6C"/>
    <w:rsid w:val="00EE75B5"/>
    <w:rsid w:val="00EF0A74"/>
    <w:rsid w:val="00EF166D"/>
    <w:rsid w:val="00EF2939"/>
    <w:rsid w:val="00EF377C"/>
    <w:rsid w:val="00EF6EFE"/>
    <w:rsid w:val="00EF7006"/>
    <w:rsid w:val="00EF7F1D"/>
    <w:rsid w:val="00F01A84"/>
    <w:rsid w:val="00F04747"/>
    <w:rsid w:val="00F06FE7"/>
    <w:rsid w:val="00F07CAC"/>
    <w:rsid w:val="00F100C9"/>
    <w:rsid w:val="00F158A8"/>
    <w:rsid w:val="00F16401"/>
    <w:rsid w:val="00F17934"/>
    <w:rsid w:val="00F221AD"/>
    <w:rsid w:val="00F31E32"/>
    <w:rsid w:val="00F344FE"/>
    <w:rsid w:val="00F378D1"/>
    <w:rsid w:val="00F40915"/>
    <w:rsid w:val="00F40F38"/>
    <w:rsid w:val="00F41F3D"/>
    <w:rsid w:val="00F46A11"/>
    <w:rsid w:val="00F477EE"/>
    <w:rsid w:val="00F50B57"/>
    <w:rsid w:val="00F5192B"/>
    <w:rsid w:val="00F52F54"/>
    <w:rsid w:val="00F5619C"/>
    <w:rsid w:val="00F569FB"/>
    <w:rsid w:val="00F61818"/>
    <w:rsid w:val="00F62816"/>
    <w:rsid w:val="00F6758A"/>
    <w:rsid w:val="00F77E19"/>
    <w:rsid w:val="00F807AA"/>
    <w:rsid w:val="00F813E9"/>
    <w:rsid w:val="00F84DC0"/>
    <w:rsid w:val="00F85DAD"/>
    <w:rsid w:val="00F86798"/>
    <w:rsid w:val="00F8726A"/>
    <w:rsid w:val="00F87C14"/>
    <w:rsid w:val="00F90862"/>
    <w:rsid w:val="00F919DC"/>
    <w:rsid w:val="00F96E3C"/>
    <w:rsid w:val="00FA0111"/>
    <w:rsid w:val="00FA1070"/>
    <w:rsid w:val="00FA25DE"/>
    <w:rsid w:val="00FA5A77"/>
    <w:rsid w:val="00FA63A2"/>
    <w:rsid w:val="00FA66AC"/>
    <w:rsid w:val="00FA74FF"/>
    <w:rsid w:val="00FB3E25"/>
    <w:rsid w:val="00FB5674"/>
    <w:rsid w:val="00FB633D"/>
    <w:rsid w:val="00FB7560"/>
    <w:rsid w:val="00FC00B2"/>
    <w:rsid w:val="00FC0AD9"/>
    <w:rsid w:val="00FD397C"/>
    <w:rsid w:val="00FD4220"/>
    <w:rsid w:val="00FD451C"/>
    <w:rsid w:val="00FD472D"/>
    <w:rsid w:val="00FD4F69"/>
    <w:rsid w:val="00FD67D4"/>
    <w:rsid w:val="00FD786A"/>
    <w:rsid w:val="00FE063F"/>
    <w:rsid w:val="00FE12E7"/>
    <w:rsid w:val="00FE349C"/>
    <w:rsid w:val="00FE7683"/>
    <w:rsid w:val="00FF5C9B"/>
    <w:rsid w:val="00FF73E6"/>
    <w:rsid w:val="00FF7404"/>
    <w:rsid w:val="047AF533"/>
    <w:rsid w:val="0A2828AE"/>
    <w:rsid w:val="10C33D04"/>
    <w:rsid w:val="16D49FA7"/>
    <w:rsid w:val="1806170A"/>
    <w:rsid w:val="1C3B1186"/>
    <w:rsid w:val="1F702997"/>
    <w:rsid w:val="24A7A6AF"/>
    <w:rsid w:val="2582C847"/>
    <w:rsid w:val="2E506E03"/>
    <w:rsid w:val="318D23C0"/>
    <w:rsid w:val="3879548F"/>
    <w:rsid w:val="3ACA2C48"/>
    <w:rsid w:val="3BCFBEAC"/>
    <w:rsid w:val="3FA45B72"/>
    <w:rsid w:val="40C23287"/>
    <w:rsid w:val="4B6B61C8"/>
    <w:rsid w:val="5C6F03B6"/>
    <w:rsid w:val="60EC2C18"/>
    <w:rsid w:val="65DBAD47"/>
    <w:rsid w:val="6C1CDCFB"/>
    <w:rsid w:val="6F9E6FFB"/>
    <w:rsid w:val="7DCE8A08"/>
    <w:rsid w:val="7ED107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3CF"/>
  <w15:chartTrackingRefBased/>
  <w15:docId w15:val="{86851501-BA11-483C-B481-A6EEF84D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19B"/>
    <w:rPr>
      <w:lang w:val="es-ES"/>
    </w:rPr>
  </w:style>
  <w:style w:type="paragraph" w:styleId="Ttulo1">
    <w:name w:val="heading 1"/>
    <w:basedOn w:val="Normal"/>
    <w:next w:val="Normal"/>
    <w:uiPriority w:val="9"/>
    <w:qFormat/>
    <w:rsid w:val="00B81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semiHidden/>
    <w:unhideWhenUsed/>
    <w:qFormat/>
    <w:rsid w:val="00B81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semiHidden/>
    <w:unhideWhenUsed/>
    <w:qFormat/>
    <w:rsid w:val="00B81C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semiHidden/>
    <w:unhideWhenUsed/>
    <w:qFormat/>
    <w:rsid w:val="00B81C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rsid w:val="00B81C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uiPriority w:val="9"/>
    <w:semiHidden/>
    <w:unhideWhenUsed/>
    <w:qFormat/>
    <w:rsid w:val="00B81C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81C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81C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81C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B81C43"/>
    <w:pPr>
      <w:ind w:left="720"/>
      <w:contextualSpacing/>
    </w:pPr>
  </w:style>
  <w:style w:type="character" w:styleId="nfasisintenso">
    <w:name w:val="Intense Emphasis"/>
    <w:basedOn w:val="Fuentedeprrafopredeter"/>
    <w:uiPriority w:val="21"/>
    <w:qFormat/>
    <w:rsid w:val="00B81C43"/>
    <w:rPr>
      <w:i/>
      <w:iCs/>
      <w:color w:val="2F5496" w:themeColor="accent1" w:themeShade="BF"/>
    </w:rPr>
  </w:style>
  <w:style w:type="character" w:styleId="Referenciaintensa">
    <w:name w:val="Intense Reference"/>
    <w:basedOn w:val="Fuentedeprrafopredeter"/>
    <w:uiPriority w:val="32"/>
    <w:qFormat/>
    <w:rsid w:val="00B81C43"/>
    <w:rPr>
      <w:b/>
      <w:bCs/>
      <w:smallCaps/>
      <w:color w:val="2F5496" w:themeColor="accent1" w:themeShade="BF"/>
      <w:spacing w:val="5"/>
    </w:rPr>
  </w:style>
  <w:style w:type="character" w:styleId="Hipervnculo">
    <w:name w:val="Hyperlink"/>
    <w:basedOn w:val="Fuentedeprrafopredeter"/>
    <w:uiPriority w:val="99"/>
    <w:unhideWhenUsed/>
    <w:rsid w:val="00DD4F32"/>
    <w:rPr>
      <w:color w:val="0563C1" w:themeColor="hyperlink"/>
      <w:u w:val="single"/>
    </w:rPr>
  </w:style>
  <w:style w:type="character" w:styleId="Mencinsinresolver">
    <w:name w:val="Unresolved Mention"/>
    <w:basedOn w:val="Fuentedeprrafopredeter"/>
    <w:uiPriority w:val="99"/>
    <w:semiHidden/>
    <w:unhideWhenUsed/>
    <w:rsid w:val="007920A3"/>
    <w:rPr>
      <w:color w:val="605E5C"/>
      <w:shd w:val="clear" w:color="auto" w:fill="E1DFDD"/>
    </w:rPr>
  </w:style>
  <w:style w:type="paragraph" w:styleId="Bibliografa">
    <w:name w:val="Bibliography"/>
    <w:basedOn w:val="Normal"/>
    <w:next w:val="Normal"/>
    <w:uiPriority w:val="37"/>
    <w:unhideWhenUsed/>
    <w:rsid w:val="002A13DB"/>
    <w:pPr>
      <w:tabs>
        <w:tab w:val="left" w:pos="624"/>
      </w:tabs>
      <w:spacing w:after="240" w:line="240" w:lineRule="auto"/>
      <w:ind w:left="624" w:hanging="624"/>
    </w:pPr>
  </w:style>
  <w:style w:type="paragraph" w:styleId="NormalWeb">
    <w:name w:val="Normal (Web)"/>
    <w:basedOn w:val="Normal"/>
    <w:uiPriority w:val="99"/>
    <w:semiHidden/>
    <w:unhideWhenUsed/>
    <w:rsid w:val="00BD1BF6"/>
    <w:pPr>
      <w:spacing w:before="100" w:beforeAutospacing="1" w:after="100" w:afterAutospacing="1" w:line="240" w:lineRule="auto"/>
    </w:pPr>
    <w:rPr>
      <w:rFonts w:ascii="Times New Roman" w:eastAsiaTheme="minorEastAsia" w:hAnsi="Times New Roman" w:cs="Times New Roman"/>
      <w:kern w:val="0"/>
      <w:sz w:val="24"/>
      <w:szCs w:val="24"/>
      <w:lang w:val="es-MX" w:eastAsia="es-MX"/>
      <w14:ligatures w14:val="none"/>
    </w:rPr>
  </w:style>
  <w:style w:type="table" w:styleId="Tablaconcuadrcula">
    <w:name w:val="Table Grid"/>
    <w:basedOn w:val="TableNormal"/>
    <w:uiPriority w:val="39"/>
    <w:rsid w:val="00E51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2C2D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2C2D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2C2DBF"/>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2C2DBF"/>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2C2DBF"/>
    <w:rPr>
      <w:rFonts w:eastAsiaTheme="majorEastAsia" w:cstheme="majorBidi"/>
      <w:color w:val="2F5496" w:themeColor="accent1" w:themeShade="BF"/>
    </w:rPr>
  </w:style>
  <w:style w:type="character" w:customStyle="1" w:styleId="Ttulo6Car">
    <w:name w:val="Título 6 Car"/>
    <w:basedOn w:val="Fuentedeprrafopredeter"/>
    <w:uiPriority w:val="9"/>
    <w:semiHidden/>
    <w:rsid w:val="002C2DBF"/>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2C2DBF"/>
    <w:rPr>
      <w:rFonts w:eastAsiaTheme="majorEastAsia" w:cstheme="majorBidi"/>
      <w:color w:val="595959" w:themeColor="text1" w:themeTint="A6"/>
    </w:rPr>
  </w:style>
  <w:style w:type="character" w:customStyle="1" w:styleId="Ttulo8Car">
    <w:name w:val="Título 8 Car"/>
    <w:basedOn w:val="Fuentedeprrafopredeter"/>
    <w:uiPriority w:val="9"/>
    <w:semiHidden/>
    <w:rsid w:val="002C2DBF"/>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2C2DBF"/>
    <w:rPr>
      <w:rFonts w:eastAsiaTheme="majorEastAsia" w:cstheme="majorBidi"/>
      <w:color w:val="272727" w:themeColor="text1" w:themeTint="D8"/>
    </w:rPr>
  </w:style>
  <w:style w:type="character" w:customStyle="1" w:styleId="TtuloCar">
    <w:name w:val="Título Car"/>
    <w:basedOn w:val="Fuentedeprrafopredeter"/>
    <w:uiPriority w:val="10"/>
    <w:rsid w:val="002C2DB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2DBF"/>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2C2DBF"/>
    <w:rPr>
      <w:i/>
      <w:iCs/>
      <w:color w:val="404040" w:themeColor="text1" w:themeTint="BF"/>
    </w:rPr>
  </w:style>
  <w:style w:type="character" w:customStyle="1" w:styleId="CitadestacadaCar">
    <w:name w:val="Cita destacada Car"/>
    <w:basedOn w:val="Fuentedeprrafopredeter"/>
    <w:uiPriority w:val="30"/>
    <w:rsid w:val="002C2DBF"/>
    <w:rPr>
      <w:i/>
      <w:iCs/>
      <w:color w:val="2F5496" w:themeColor="accent1" w:themeShade="BF"/>
    </w:rPr>
  </w:style>
  <w:style w:type="table" w:styleId="Tablaconcuadrculaclara">
    <w:name w:val="Grid Table Light"/>
    <w:basedOn w:val="Tablanormal"/>
    <w:uiPriority w:val="40"/>
    <w:rsid w:val="00C435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10334</TotalTime>
  <Pages>8</Pages>
  <Words>10467</Words>
  <Characters>57572</Characters>
  <Application>Microsoft Office Word</Application>
  <DocSecurity>0</DocSecurity>
  <Lines>479</Lines>
  <Paragraphs>135</Paragraphs>
  <ScaleCrop>false</ScaleCrop>
  <Company/>
  <LinksUpToDate>false</LinksUpToDate>
  <CharactersWithSpaces>67904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1305</cp:revision>
  <dcterms:created xsi:type="dcterms:W3CDTF">2026-04-01T06:45:00Z</dcterms:created>
  <dcterms:modified xsi:type="dcterms:W3CDTF">2026-06-27T03:58:00Z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id="GDIrkYDN"/&gt;&lt;style id="http://www.zotero.org/styles/sage-vancouver-brackets" hasBibliography="1" bibliographyStyleHasBeenSet="1"/&gt;&lt;prefs&gt;&lt;pref name="fieldType" value="Field"/&gt;&lt;pref name="dontAskDel</vt:lpwstr>
  </property>
  <property fmtid="{D5CDD505-2E9C-101B-9397-08002B2CF9AE}" pid="3" name="ZOTERO_PREF_2">
    <vt:lpwstr>ayCitationUpdates" value="true"/&gt;&lt;/prefs&gt;&lt;/data&gt;</vt:lpwstr>
  </property>
</Properties>
</file>