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DC3E" w14:textId="77777777" w:rsidR="007B43CB" w:rsidRPr="00E102DA" w:rsidRDefault="007B43CB">
      <w:pPr>
        <w:rPr>
          <w:kern w:val="0"/>
          <w:lang w:val="es-MX"/>
          <w14:ligatures w14:val="none"/>
        </w:rPr>
      </w:pPr>
      <w:r w:rsidRPr="00E102DA">
        <w:rPr>
          <w:lang w:val="es-MX"/>
        </w:rPr>
        <w:t>Antecedentes de la depresión y ansiedad en México</w:t>
      </w:r>
    </w:p>
    <w:p w14:paraId="433A2E09" w14:textId="2FEC935E" w:rsidR="007B43CB" w:rsidRPr="00E102DA" w:rsidRDefault="007B43CB">
      <w:pPr>
        <w:rPr>
          <w:lang w:val="es-MX"/>
        </w:rPr>
      </w:pPr>
      <w:r w:rsidRPr="007B43CB">
        <w:rPr>
          <w:lang w:val="es-MX"/>
        </w:rPr>
        <w:t xml:space="preserve">En la época prehispánica de México, los conceptos de ansiedad y depresión tal como los entendemos hoy no existían como diagnósticos médicos formales. Sin embargo, las culturas originarias sí identificaban diversos estados alterados del ánimo, emociones y espíritu que impactaban tanto la mente como el cuerpo. </w:t>
      </w:r>
      <w:r w:rsidRPr="00E102DA">
        <w:rPr>
          <w:lang w:val="es-MX"/>
        </w:rPr>
        <w:t>La visión de la enfermedad era integral: no se distinguía entre lo psicológico, lo físico y lo espiritual, sino que todo se consideraba parte de un equilibrio entre el individuo, la comunidad, la naturaleza y lo divino</w:t>
      </w:r>
      <w:r w:rsidR="00F252F5">
        <w:rPr>
          <w:lang w:val="es-MX"/>
        </w:rPr>
        <w:t xml:space="preserve">. </w:t>
      </w:r>
      <w:r w:rsidRPr="00E102DA">
        <w:rPr>
          <w:lang w:val="es-MX"/>
        </w:rPr>
        <w:t xml:space="preserve">En particular, los nahuas reconocían cinco grupos principales de enfermedades mentales: ansiedad, aflicción, locura (afección del corazón), melancolía e histeria. Para abordar estos desequilibrios, se empleaban prácticas de carácter religioso, mágico y empírico, reflejando la concepción holística del bienestar y la sanación en las sociedades prehispánicas. </w:t>
      </w:r>
      <w:r w:rsidRPr="00E102DA">
        <w:rPr>
          <w:b/>
          <w:bCs/>
          <w:lang w:val="es-MX"/>
        </w:rPr>
        <w:t>[1]</w:t>
      </w:r>
    </w:p>
    <w:p w14:paraId="2A04DE3F" w14:textId="77777777" w:rsidR="007B43CB" w:rsidRPr="00E102DA" w:rsidRDefault="007B43CB">
      <w:pPr>
        <w:rPr>
          <w:lang w:val="es-MX"/>
        </w:rPr>
      </w:pPr>
      <w:r w:rsidRPr="00E102DA">
        <w:rPr>
          <w:lang w:val="es-MX"/>
        </w:rPr>
        <w:t xml:space="preserve">Las enfermedades mentales estaban plenamente identificadas y eran atendidas por curanderos llamados </w:t>
      </w:r>
      <w:proofErr w:type="spellStart"/>
      <w:r w:rsidRPr="00E102DA">
        <w:rPr>
          <w:lang w:val="es-MX"/>
        </w:rPr>
        <w:t>Tlamatini</w:t>
      </w:r>
      <w:proofErr w:type="spellEnd"/>
      <w:r w:rsidRPr="00E102DA">
        <w:rPr>
          <w:lang w:val="es-MX"/>
        </w:rPr>
        <w:t xml:space="preserve"> y tenían tratamientos específicos que eran: religiosos, mágicos y empíricos. </w:t>
      </w:r>
      <w:r w:rsidRPr="00E102DA">
        <w:rPr>
          <w:b/>
          <w:bCs/>
          <w:lang w:val="es-MX"/>
        </w:rPr>
        <w:t>[1]</w:t>
      </w:r>
      <w:r w:rsidRPr="00E102DA">
        <w:rPr>
          <w:lang w:val="es-MX"/>
        </w:rPr>
        <w:t xml:space="preserve"> La tristeza o el temor no eran vistos solo como problemas individuales, sino como desequilibrios que afectaban a la comunidad. Se practicaban rituales colectivos para acompañar el duelo o fortalecer el ánimo de los guerreros. </w:t>
      </w:r>
      <w:r w:rsidRPr="00E102DA">
        <w:rPr>
          <w:b/>
          <w:bCs/>
          <w:lang w:val="es-MX"/>
        </w:rPr>
        <w:t>[2]</w:t>
      </w:r>
      <w:r w:rsidRPr="00E102DA">
        <w:rPr>
          <w:lang w:val="es-MX"/>
        </w:rPr>
        <w:t xml:space="preserve"> Aztecas y mayas concebían el alma como múltiple (</w:t>
      </w:r>
      <w:proofErr w:type="spellStart"/>
      <w:r w:rsidRPr="00E102DA">
        <w:rPr>
          <w:lang w:val="es-MX"/>
        </w:rPr>
        <w:t>tonalli</w:t>
      </w:r>
      <w:proofErr w:type="spellEnd"/>
      <w:r w:rsidRPr="00E102DA">
        <w:rPr>
          <w:lang w:val="es-MX"/>
        </w:rPr>
        <w:t xml:space="preserve">, </w:t>
      </w:r>
      <w:proofErr w:type="spellStart"/>
      <w:r w:rsidRPr="00E102DA">
        <w:rPr>
          <w:lang w:val="es-MX"/>
        </w:rPr>
        <w:t>teyolía</w:t>
      </w:r>
      <w:proofErr w:type="spellEnd"/>
      <w:r w:rsidRPr="00E102DA">
        <w:rPr>
          <w:lang w:val="es-MX"/>
        </w:rPr>
        <w:t xml:space="preserve">, </w:t>
      </w:r>
      <w:proofErr w:type="spellStart"/>
      <w:r w:rsidRPr="00E102DA">
        <w:rPr>
          <w:lang w:val="es-MX"/>
        </w:rPr>
        <w:t>ihíyotl</w:t>
      </w:r>
      <w:proofErr w:type="spellEnd"/>
      <w:r w:rsidRPr="00E102DA">
        <w:rPr>
          <w:lang w:val="es-MX"/>
        </w:rPr>
        <w:t>), y una perturbación en estas podía causar tristeza, miedo, angustia o desesperanza.</w:t>
      </w:r>
    </w:p>
    <w:p w14:paraId="17CEDB99" w14:textId="5EA0D8FF" w:rsidR="007B43CB" w:rsidRPr="00E102DA" w:rsidRDefault="007B43CB">
      <w:pPr>
        <w:rPr>
          <w:lang w:val="es-MX"/>
        </w:rPr>
      </w:pPr>
      <w:r w:rsidRPr="00E102DA">
        <w:rPr>
          <w:lang w:val="es-MX"/>
        </w:rPr>
        <w:t xml:space="preserve">Las emociones negativas eran vistas como resultado de castigos divinos o desequilibrios cósmicos, debilitamiento del </w:t>
      </w:r>
      <w:proofErr w:type="spellStart"/>
      <w:r w:rsidRPr="00E102DA">
        <w:rPr>
          <w:lang w:val="es-MX"/>
        </w:rPr>
        <w:t>tonalli</w:t>
      </w:r>
      <w:proofErr w:type="spellEnd"/>
      <w:r w:rsidRPr="00E102DA">
        <w:rPr>
          <w:lang w:val="es-MX"/>
        </w:rPr>
        <w:t xml:space="preserve"> (energía vital) y cargas sociales (duelos, pérdidas, derrota en guerra</w:t>
      </w:r>
      <w:r w:rsidR="00F252F5">
        <w:rPr>
          <w:lang w:val="es-MX"/>
        </w:rPr>
        <w:t xml:space="preserve">. </w:t>
      </w:r>
      <w:r w:rsidRPr="00E102DA">
        <w:rPr>
          <w:lang w:val="es-MX"/>
        </w:rPr>
        <w:t>Lo que hoy llamamos ansiedad podía relacionarse con estados de "corazón tembloroso" o "espíritu inquieto". Lo semejante a la depresión se expresaba como "tristeza del corazón" (</w:t>
      </w:r>
      <w:proofErr w:type="spellStart"/>
      <w:r w:rsidRPr="00E102DA">
        <w:rPr>
          <w:lang w:val="es-MX"/>
        </w:rPr>
        <w:t>yollotl</w:t>
      </w:r>
      <w:proofErr w:type="spellEnd"/>
      <w:r w:rsidRPr="00E102DA">
        <w:rPr>
          <w:lang w:val="es-MX"/>
        </w:rPr>
        <w:t xml:space="preserve"> </w:t>
      </w:r>
      <w:proofErr w:type="spellStart"/>
      <w:r w:rsidRPr="00E102DA">
        <w:rPr>
          <w:lang w:val="es-MX"/>
        </w:rPr>
        <w:t>tlacualiztli</w:t>
      </w:r>
      <w:proofErr w:type="spellEnd"/>
      <w:r w:rsidRPr="00E102DA">
        <w:rPr>
          <w:lang w:val="es-MX"/>
        </w:rPr>
        <w:t xml:space="preserve">) o "flojera del espíritu", una especie de pesadez vital que impedía la acción. </w:t>
      </w:r>
      <w:r w:rsidRPr="00E102DA">
        <w:rPr>
          <w:b/>
          <w:bCs/>
          <w:lang w:val="es-MX"/>
        </w:rPr>
        <w:t>[2]</w:t>
      </w:r>
    </w:p>
    <w:p w14:paraId="75CB45B6" w14:textId="77777777" w:rsidR="007B43CB" w:rsidRPr="00E102DA" w:rsidRDefault="007B43CB">
      <w:pPr>
        <w:rPr>
          <w:lang w:val="es-MX"/>
        </w:rPr>
      </w:pPr>
      <w:r w:rsidRPr="00E102DA">
        <w:rPr>
          <w:lang w:val="es-MX"/>
        </w:rPr>
        <w:t>Los tratamientos tradicionales eran holísticos, combinando medicina, ritual y arte. El cacao fue considerado un calmante y antidepresivo, así como flores (</w:t>
      </w:r>
      <w:proofErr w:type="spellStart"/>
      <w:r w:rsidRPr="00E102DA">
        <w:rPr>
          <w:lang w:val="es-MX"/>
        </w:rPr>
        <w:t>xochitl</w:t>
      </w:r>
      <w:proofErr w:type="spellEnd"/>
      <w:r w:rsidRPr="00E102DA">
        <w:rPr>
          <w:lang w:val="es-MX"/>
        </w:rPr>
        <w:t xml:space="preserve">) como el cempasúchil y el </w:t>
      </w:r>
      <w:proofErr w:type="spellStart"/>
      <w:r w:rsidRPr="00E102DA">
        <w:rPr>
          <w:lang w:val="es-MX"/>
        </w:rPr>
        <w:t>yolloxóchitl</w:t>
      </w:r>
      <w:proofErr w:type="spellEnd"/>
      <w:r w:rsidRPr="00E102DA">
        <w:rPr>
          <w:lang w:val="es-MX"/>
        </w:rPr>
        <w:t xml:space="preserve"> (flor del corazón) usadas para aliviar la tristeza, hierbas (copal, toloache en dosis rituales) para tranquilizar. así mismo se empleaban cactáceas y enteógenos como el peyote y los hongos sagrados (</w:t>
      </w:r>
      <w:proofErr w:type="spellStart"/>
      <w:r w:rsidRPr="00E102DA">
        <w:rPr>
          <w:lang w:val="es-MX"/>
        </w:rPr>
        <w:t>teonanácatl</w:t>
      </w:r>
      <w:proofErr w:type="spellEnd"/>
      <w:r w:rsidRPr="00E102DA">
        <w:rPr>
          <w:lang w:val="es-MX"/>
        </w:rPr>
        <w:t xml:space="preserve">), empleados bajo ritual para inducir visiones, liberar tensiones y reconectar con lo divino.  En Terapias chamánicas: el </w:t>
      </w:r>
      <w:proofErr w:type="spellStart"/>
      <w:r w:rsidRPr="00E102DA">
        <w:rPr>
          <w:lang w:val="es-MX"/>
        </w:rPr>
        <w:t>ticitl</w:t>
      </w:r>
      <w:proofErr w:type="spellEnd"/>
      <w:r w:rsidRPr="00E102DA">
        <w:rPr>
          <w:lang w:val="es-MX"/>
        </w:rPr>
        <w:t xml:space="preserve"> (médico-sacerdote) guiaba ceremonias con enteógenos para confrontar los miedos y liberar la angustia. </w:t>
      </w:r>
      <w:r w:rsidRPr="00E102DA">
        <w:rPr>
          <w:b/>
          <w:bCs/>
          <w:lang w:val="es-MX"/>
        </w:rPr>
        <w:t>[3]</w:t>
      </w:r>
    </w:p>
    <w:p w14:paraId="123E3BC0" w14:textId="3DFB75CF" w:rsidR="007B43CB" w:rsidRPr="00E102DA" w:rsidRDefault="007B43CB">
      <w:pPr>
        <w:rPr>
          <w:lang w:val="es-MX"/>
        </w:rPr>
      </w:pPr>
      <w:r w:rsidRPr="00E102DA">
        <w:rPr>
          <w:lang w:val="es-MX"/>
        </w:rPr>
        <w:t xml:space="preserve">Se pedía la intervención de dioses como Xochipilli (deidad de la música y de lo florido) o Tlaloc (vinculado a las lágrimas y la lluvia, metáfora de la tristeza). </w:t>
      </w:r>
      <w:r w:rsidRPr="00E102DA">
        <w:rPr>
          <w:b/>
          <w:bCs/>
          <w:sz w:val="24"/>
          <w:szCs w:val="24"/>
          <w:lang w:val="es-MX"/>
        </w:rPr>
        <w:t>[1,2]</w:t>
      </w:r>
    </w:p>
    <w:p w14:paraId="7886E620" w14:textId="77777777" w:rsidR="007B43CB" w:rsidRDefault="007B43CB">
      <w:pPr>
        <w:rPr>
          <w:b/>
          <w:bCs/>
        </w:rPr>
      </w:pPr>
      <w:r w:rsidRPr="00E102DA">
        <w:rPr>
          <w:lang w:val="es-MX"/>
        </w:rPr>
        <w:t xml:space="preserve">También se empleaban ofrendas, rezos y penitencias para restaurar la armonía espiritual como el Temazcal (baño de vapor): considerado purificador del cuerpo y el alma, usado contra la tristeza, miedo o desánimo. Masajes y sahumerios con copal y plantas acompañando estas terapias con Cantos, danzas y poesía (los </w:t>
      </w:r>
      <w:proofErr w:type="spellStart"/>
      <w:r w:rsidRPr="00E102DA">
        <w:rPr>
          <w:lang w:val="es-MX"/>
        </w:rPr>
        <w:t>cuícatl</w:t>
      </w:r>
      <w:proofErr w:type="spellEnd"/>
      <w:r w:rsidRPr="00E102DA">
        <w:rPr>
          <w:lang w:val="es-MX"/>
        </w:rPr>
        <w:t xml:space="preserve">) como expresiones colectivas de sanación emocional. </w:t>
      </w:r>
      <w:r>
        <w:rPr>
          <w:b/>
          <w:bCs/>
        </w:rPr>
        <w:t>[1,2]</w:t>
      </w:r>
    </w:p>
    <w:p w14:paraId="71D569F4" w14:textId="77777777" w:rsidR="0023380F" w:rsidRPr="0023380F" w:rsidRDefault="0023380F" w:rsidP="0023380F">
      <w:pPr>
        <w:rPr>
          <w:lang w:val="es-MX"/>
        </w:rPr>
      </w:pPr>
    </w:p>
    <w:p w14:paraId="234EB6BF" w14:textId="77777777" w:rsidR="0023380F" w:rsidRPr="0023380F" w:rsidRDefault="0023380F" w:rsidP="0023380F">
      <w:pPr>
        <w:rPr>
          <w:lang w:val="es-MX"/>
        </w:rPr>
      </w:pPr>
      <w:r w:rsidRPr="0023380F">
        <w:rPr>
          <w:lang w:val="es-MX"/>
        </w:rPr>
        <w:t>Uso de la psilocibina en el México antiguo</w:t>
      </w:r>
    </w:p>
    <w:p w14:paraId="1DC56FAB" w14:textId="14CBF522" w:rsidR="0023380F" w:rsidRPr="007847D9" w:rsidRDefault="0023380F" w:rsidP="0023380F">
      <w:pPr>
        <w:rPr>
          <w:lang w:val="es-MX"/>
        </w:rPr>
      </w:pPr>
      <w:r w:rsidRPr="0023380F">
        <w:rPr>
          <w:lang w:val="es-MX"/>
        </w:rPr>
        <w:t xml:space="preserve">Los hongos que contienen psilocibina eran empleados por diversas culturas indígenas de México, especialmente en regiones como la Sierra </w:t>
      </w:r>
      <w:proofErr w:type="spellStart"/>
      <w:proofErr w:type="gramStart"/>
      <w:r w:rsidRPr="0023380F">
        <w:rPr>
          <w:lang w:val="es-MX"/>
        </w:rPr>
        <w:t>Mazateca,Oaxaca</w:t>
      </w:r>
      <w:proofErr w:type="spellEnd"/>
      <w:proofErr w:type="gramEnd"/>
      <w:r w:rsidRPr="0023380F">
        <w:rPr>
          <w:lang w:val="es-MX"/>
        </w:rPr>
        <w:t xml:space="preserve">. Las comunidades mazatecas, zapotecas y mixtecas, entre otras, utilizaban estos hongos en ceremonias religiosas y de sanación, atribuyéndoles </w:t>
      </w:r>
      <w:r w:rsidRPr="0023380F">
        <w:rPr>
          <w:lang w:val="es-MX"/>
        </w:rPr>
        <w:lastRenderedPageBreak/>
        <w:t>poderes visionarios y curativos. El término náhuatl "</w:t>
      </w:r>
      <w:proofErr w:type="spellStart"/>
      <w:r w:rsidRPr="0023380F">
        <w:rPr>
          <w:lang w:val="es-MX"/>
        </w:rPr>
        <w:t>teonanácatl</w:t>
      </w:r>
      <w:proofErr w:type="spellEnd"/>
      <w:r w:rsidRPr="0023380F">
        <w:rPr>
          <w:lang w:val="es-MX"/>
        </w:rPr>
        <w:t xml:space="preserve">", que significa “hongo sagrado” o “carne de los dioses”, refleja la profunda conexión espiritual que los pueblos originarios tenían con la psilocibina. </w:t>
      </w:r>
      <w:r w:rsidR="0017271E" w:rsidRPr="0017271E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3</w:t>
      </w:r>
      <w:r w:rsidR="0017271E" w:rsidRPr="0017271E">
        <w:rPr>
          <w:b/>
          <w:bCs/>
          <w:lang w:val="es-MX"/>
        </w:rPr>
        <w:t>]</w:t>
      </w:r>
    </w:p>
    <w:p w14:paraId="3A59A207" w14:textId="46540380" w:rsidR="0023380F" w:rsidRPr="0023380F" w:rsidRDefault="0023380F" w:rsidP="0023380F">
      <w:pPr>
        <w:rPr>
          <w:lang w:val="es-MX"/>
        </w:rPr>
      </w:pPr>
      <w:r w:rsidRPr="0023380F">
        <w:rPr>
          <w:lang w:val="es-MX"/>
        </w:rPr>
        <w:t xml:space="preserve">Durante la época prehispánica, el uso de hongos alucinógenos era protegido por la </w:t>
      </w:r>
      <w:proofErr w:type="spellStart"/>
      <w:r w:rsidRPr="0023380F">
        <w:rPr>
          <w:lang w:val="es-MX"/>
        </w:rPr>
        <w:t>poblacion</w:t>
      </w:r>
      <w:proofErr w:type="spellEnd"/>
      <w:r w:rsidRPr="0023380F">
        <w:rPr>
          <w:lang w:val="es-MX"/>
        </w:rPr>
        <w:t xml:space="preserve">, con sacerdotes y chamanes encargados de guiar las ceremonias. Sin embargo, con la llegada de los conquistadores españoles en el siglo XVI, la perspectiva sobre estos rituales cambió radicalmente. Las autoridades coloniales comenzaron a considerar el uso de hongos como prácticas paganas o supersticiosas, ordenando su supresión y castigando a quienes los empleaban. </w:t>
      </w:r>
      <w:r w:rsidR="00D67D71" w:rsidRPr="0017271E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4</w:t>
      </w:r>
      <w:r w:rsidR="00D67D71" w:rsidRPr="0017271E">
        <w:rPr>
          <w:b/>
          <w:bCs/>
          <w:lang w:val="es-MX"/>
        </w:rPr>
        <w:t>]</w:t>
      </w:r>
    </w:p>
    <w:p w14:paraId="1BA9B525" w14:textId="31D52162" w:rsidR="0023380F" w:rsidRPr="0023380F" w:rsidRDefault="0023380F" w:rsidP="0023380F">
      <w:pPr>
        <w:rPr>
          <w:lang w:val="es-MX"/>
        </w:rPr>
      </w:pPr>
      <w:r w:rsidRPr="0023380F">
        <w:rPr>
          <w:lang w:val="es-MX"/>
        </w:rPr>
        <w:t xml:space="preserve">Los primeros testimonios del uso de los hongos psilocibios lo describen los primeros viajeros que llegaron de España a México y provenían de reliquias de origen precolombinas tales como frescos, estatuillas y alfarería que datan de una época previa a la cristiana revelando que el uso de los hongos psilocibios se remonta a épocas muy antiguas </w:t>
      </w:r>
      <w:r w:rsidR="0003741E" w:rsidRPr="0017271E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5</w:t>
      </w:r>
      <w:r w:rsidR="0003741E" w:rsidRPr="0017271E">
        <w:rPr>
          <w:b/>
          <w:bCs/>
          <w:lang w:val="es-MX"/>
        </w:rPr>
        <w:t>]</w:t>
      </w:r>
      <w:r w:rsidRPr="0023380F">
        <w:rPr>
          <w:lang w:val="es-MX"/>
        </w:rPr>
        <w:t xml:space="preserve"> </w:t>
      </w:r>
    </w:p>
    <w:p w14:paraId="589714AC" w14:textId="285396CB" w:rsidR="0023380F" w:rsidRPr="0023380F" w:rsidRDefault="0023380F" w:rsidP="0023380F">
      <w:pPr>
        <w:rPr>
          <w:lang w:val="es-MX"/>
        </w:rPr>
      </w:pPr>
      <w:r w:rsidRPr="0023380F">
        <w:rPr>
          <w:lang w:val="es-MX"/>
        </w:rPr>
        <w:t xml:space="preserve">Posteriormente, en el siglo XVI algunos frailes españoles hacen referencia de los usos que las tribus  de los indios mexicanos hacían de los hongos, mencionando que se utilizaban con fines rituales, adivinatorios y de uso común durante las ceremonias a los cuales denominaban </w:t>
      </w:r>
      <w:proofErr w:type="spellStart"/>
      <w:r w:rsidRPr="0023380F">
        <w:rPr>
          <w:lang w:val="es-MX"/>
        </w:rPr>
        <w:t>Teonanacatl</w:t>
      </w:r>
      <w:proofErr w:type="spellEnd"/>
      <w:r w:rsidRPr="0023380F">
        <w:rPr>
          <w:lang w:val="es-MX"/>
        </w:rPr>
        <w:t xml:space="preserve"> , también mencionan el efecto narcótico y embriagador que producen su ingesta, las extrañas alucinaciones, los sueños multicolor, excitación sexual o incluso el sentido de bienestar todo esto en el uso común que le daban los indígenas en la vida comunitaria donde los curanderos o sanadores bajo su efecto sanaban o incluso podrán consultar el lugar donde se encontraba escondido algún objeto perdido o las esposas desaparecidas. </w:t>
      </w:r>
      <w:r w:rsidR="0003741E" w:rsidRPr="0017271E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6</w:t>
      </w:r>
      <w:r w:rsidR="0003741E" w:rsidRPr="0017271E">
        <w:rPr>
          <w:b/>
          <w:bCs/>
          <w:lang w:val="es-MX"/>
        </w:rPr>
        <w:t>]</w:t>
      </w:r>
      <w:r w:rsidR="0003741E">
        <w:rPr>
          <w:b/>
          <w:bCs/>
          <w:lang w:val="es-MX"/>
        </w:rPr>
        <w:t xml:space="preserve"> </w:t>
      </w:r>
      <w:r w:rsidRPr="0023380F">
        <w:rPr>
          <w:lang w:val="es-MX"/>
        </w:rPr>
        <w:t xml:space="preserve">De estos relatos y de muchos otros se comprueba de que, en la época precolombina, se consumen en público los hongos sagrados, que dichas costumbres estaban en extremo difundidas y se practicaban en ceremonias públicas como hace referencia Duran durante la coronación de Moctezuma ll. </w:t>
      </w:r>
      <w:r w:rsidR="00CB4D5A" w:rsidRPr="0017271E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7</w:t>
      </w:r>
      <w:r w:rsidR="00CB4D5A" w:rsidRPr="0017271E">
        <w:rPr>
          <w:b/>
          <w:bCs/>
          <w:lang w:val="es-MX"/>
        </w:rPr>
        <w:t>]</w:t>
      </w:r>
    </w:p>
    <w:p w14:paraId="3FC7B967" w14:textId="27E8C063" w:rsidR="001B4A67" w:rsidRDefault="001B4A67">
      <w:pPr>
        <w:rPr>
          <w:b/>
          <w:bCs/>
          <w:lang w:val="es-MX"/>
        </w:rPr>
      </w:pPr>
      <w:r w:rsidRPr="000500A9">
        <w:rPr>
          <w:lang w:val="es-MX"/>
        </w:rPr>
        <w:t>La información seleccionada sobre el consumo de hongos silvestres en contextos rituales, su efecto embriagador y las visiones asociadas, así como la descripción de estados de pérdida de razón y suicidio, está documentada en fuentes históricas sobre el México prehispánico. En el contexto proporcionado, se hace referencia a testimonios de frailes españoles y cronistas como Bernardino de Sahagún y Duran, quienes describen el uso ritual de los hongos (</w:t>
      </w:r>
      <w:proofErr w:type="spellStart"/>
      <w:r w:rsidRPr="000500A9">
        <w:rPr>
          <w:lang w:val="es-MX"/>
        </w:rPr>
        <w:t>teonanácatl</w:t>
      </w:r>
      <w:proofErr w:type="spellEnd"/>
      <w:r w:rsidRPr="000500A9">
        <w:rPr>
          <w:lang w:val="es-MX"/>
        </w:rPr>
        <w:t>) y sus efectos psicológicos, alucinatorios y sociales en ceremonias públicas y privadas. Estas referencias aparecen específicamente en la obra "Historia general de las cosas de Nueva España" de Sahagún, y "Historia de las Indias de Nueva España" de Duran, donde se mencionan relatos sobre la ingestión de hongos, las danzas rituales, los sacrificios y la creencia en revelaciones sobrenaturales inducidas por los enteógenos.</w:t>
      </w:r>
      <w:r w:rsidR="000500A9">
        <w:rPr>
          <w:lang w:val="es-MX"/>
        </w:rPr>
        <w:t xml:space="preserve"> </w:t>
      </w:r>
      <w:r w:rsidR="000500A9" w:rsidRPr="000500A9">
        <w:rPr>
          <w:b/>
          <w:bCs/>
          <w:lang w:val="es-MX"/>
        </w:rPr>
        <w:t>[</w:t>
      </w:r>
      <w:r w:rsidR="00F45471">
        <w:rPr>
          <w:b/>
          <w:bCs/>
          <w:lang w:val="es-MX"/>
        </w:rPr>
        <w:t>6,7</w:t>
      </w:r>
      <w:r w:rsidR="000500A9" w:rsidRPr="000500A9">
        <w:rPr>
          <w:b/>
          <w:bCs/>
          <w:lang w:val="es-MX"/>
        </w:rPr>
        <w:t>]</w:t>
      </w:r>
    </w:p>
    <w:p w14:paraId="026ED5E3" w14:textId="77777777" w:rsidR="007847D9" w:rsidRDefault="007847D9" w:rsidP="0023380F">
      <w:pPr>
        <w:rPr>
          <w:lang w:val="es-MX"/>
        </w:rPr>
      </w:pPr>
    </w:p>
    <w:p w14:paraId="6852D65D" w14:textId="77777777" w:rsidR="003874DC" w:rsidRPr="007847D9" w:rsidRDefault="003874DC" w:rsidP="007847D9">
      <w:pPr>
        <w:rPr>
          <w:lang w:val="es-MX"/>
        </w:rPr>
      </w:pPr>
    </w:p>
    <w:p w14:paraId="3678D3C5" w14:textId="6F68C973" w:rsidR="00F45471" w:rsidRPr="001735DD" w:rsidRDefault="00F45471" w:rsidP="00F45471">
      <w:pPr>
        <w:numPr>
          <w:ilvl w:val="0"/>
          <w:numId w:val="1"/>
        </w:numPr>
        <w:spacing w:line="256" w:lineRule="auto"/>
        <w:rPr>
          <w:rFonts w:eastAsia="Times New Roman"/>
          <w:lang w:val="es-MX"/>
        </w:rPr>
      </w:pPr>
      <w:r w:rsidRPr="001735DD">
        <w:rPr>
          <w:rFonts w:eastAsia="Times New Roman"/>
          <w:b/>
          <w:bCs/>
          <w:lang w:val="es-MX"/>
        </w:rPr>
        <w:t xml:space="preserve">Villaseñor Bayardo S.J., Rojas Malpica C., Berganza </w:t>
      </w:r>
      <w:proofErr w:type="spellStart"/>
      <w:r w:rsidRPr="001735DD">
        <w:rPr>
          <w:rFonts w:eastAsia="Times New Roman"/>
          <w:b/>
          <w:bCs/>
          <w:lang w:val="es-MX"/>
        </w:rPr>
        <w:t>Champagnac</w:t>
      </w:r>
      <w:proofErr w:type="spellEnd"/>
      <w:r w:rsidRPr="001735DD">
        <w:rPr>
          <w:rFonts w:eastAsia="Times New Roman"/>
          <w:b/>
          <w:bCs/>
          <w:lang w:val="es-MX"/>
        </w:rPr>
        <w:t xml:space="preserve"> C.E. 2002.</w:t>
      </w:r>
      <w:r w:rsidRPr="001735DD">
        <w:rPr>
          <w:rFonts w:eastAsia="Times New Roman"/>
          <w:lang w:val="es-MX"/>
        </w:rPr>
        <w:t xml:space="preserve"> La enfermedad y la medicina en las culturas precolombinas de América: la cosmovisión Nahua. Investigación en Salud. Vol. 4, No. 3. (</w:t>
      </w:r>
      <w:hyperlink r:id="rId5" w:history="1">
        <w:r w:rsidR="008F287B" w:rsidRPr="00C454B0">
          <w:rPr>
            <w:rStyle w:val="Hipervnculo"/>
            <w:rFonts w:eastAsia="Times New Roman"/>
            <w:b/>
            <w:bCs/>
            <w:lang w:val="es-MX"/>
          </w:rPr>
          <w:t>http://www.redalyc.org/articulo.oa?id='14240304</w:t>
        </w:r>
      </w:hyperlink>
      <w:r w:rsidRPr="001735DD">
        <w:rPr>
          <w:rFonts w:eastAsia="Times New Roman"/>
          <w:lang w:val="es-MX"/>
        </w:rPr>
        <w:t>).</w:t>
      </w:r>
      <w:r w:rsidR="008F287B">
        <w:rPr>
          <w:rFonts w:eastAsia="Times New Roman"/>
          <w:lang w:val="es-MX"/>
        </w:rPr>
        <w:t xml:space="preserve"> </w:t>
      </w:r>
    </w:p>
    <w:p w14:paraId="4103639C" w14:textId="77777777" w:rsidR="00662C4E" w:rsidRPr="008D7E6D" w:rsidRDefault="00662C4E" w:rsidP="00662C4E">
      <w:pPr>
        <w:numPr>
          <w:ilvl w:val="0"/>
          <w:numId w:val="1"/>
        </w:numPr>
        <w:rPr>
          <w:lang w:val="es-MX"/>
        </w:rPr>
      </w:pPr>
      <w:r w:rsidRPr="008D7E6D">
        <w:rPr>
          <w:b/>
          <w:bCs/>
          <w:lang w:val="es-MX"/>
        </w:rPr>
        <w:t>Saavedra Solano, N. I. (2016). Conceptualización de las emociones en tres sistemas médicos: la medicina tradicional china, ayurveda y medicina tradicional mexicana. Cuerpos, Emociones y Sociedad, 20, 41–53.</w:t>
      </w:r>
    </w:p>
    <w:p w14:paraId="79CC27FB" w14:textId="70D67A5C" w:rsidR="007847D9" w:rsidRDefault="00192EE3" w:rsidP="007847D9">
      <w:pPr>
        <w:numPr>
          <w:ilvl w:val="0"/>
          <w:numId w:val="1"/>
        </w:numPr>
        <w:rPr>
          <w:lang w:val="es-MX"/>
        </w:rPr>
      </w:pPr>
      <w:r w:rsidRPr="00192EE3">
        <w:rPr>
          <w:lang w:val="es-MX"/>
        </w:rPr>
        <w:lastRenderedPageBreak/>
        <w:t xml:space="preserve">Guzmán Gastón. Análisis de los estudios sobre los </w:t>
      </w:r>
      <w:proofErr w:type="spellStart"/>
      <w:r w:rsidRPr="00192EE3">
        <w:rPr>
          <w:lang w:val="es-MX"/>
        </w:rPr>
        <w:t>macromycetes</w:t>
      </w:r>
      <w:proofErr w:type="spellEnd"/>
      <w:r w:rsidRPr="00192EE3">
        <w:rPr>
          <w:lang w:val="es-MX"/>
        </w:rPr>
        <w:t xml:space="preserve"> de México. Rev. Mex. </w:t>
      </w:r>
      <w:proofErr w:type="gramStart"/>
      <w:r w:rsidRPr="00192EE3">
        <w:rPr>
          <w:lang w:val="es-MX"/>
        </w:rPr>
        <w:t>Mic  [</w:t>
      </w:r>
      <w:proofErr w:type="gramEnd"/>
      <w:r w:rsidRPr="00192EE3">
        <w:rPr>
          <w:lang w:val="es-MX"/>
        </w:rPr>
        <w:t xml:space="preserve">revista en la Internet]. </w:t>
      </w:r>
      <w:proofErr w:type="gramStart"/>
      <w:r w:rsidRPr="00192EE3">
        <w:rPr>
          <w:lang w:val="es-MX"/>
        </w:rPr>
        <w:t>2008  Dic</w:t>
      </w:r>
      <w:proofErr w:type="gramEnd"/>
      <w:r w:rsidRPr="00192EE3">
        <w:rPr>
          <w:lang w:val="es-MX"/>
        </w:rPr>
        <w:t xml:space="preserve"> [</w:t>
      </w:r>
      <w:proofErr w:type="gramStart"/>
      <w:r w:rsidRPr="00192EE3">
        <w:rPr>
          <w:lang w:val="es-MX"/>
        </w:rPr>
        <w:t>citado  2026</w:t>
      </w:r>
      <w:proofErr w:type="gramEnd"/>
      <w:r w:rsidRPr="00192EE3">
        <w:rPr>
          <w:lang w:val="es-MX"/>
        </w:rPr>
        <w:t xml:space="preserve">  </w:t>
      </w:r>
      <w:proofErr w:type="gramStart"/>
      <w:r w:rsidRPr="00192EE3">
        <w:rPr>
          <w:lang w:val="es-MX"/>
        </w:rPr>
        <w:t>Mar  31] ;</w:t>
      </w:r>
      <w:proofErr w:type="gramEnd"/>
      <w:r w:rsidRPr="00192EE3">
        <w:rPr>
          <w:lang w:val="es-MX"/>
        </w:rPr>
        <w:t xml:space="preserve">  </w:t>
      </w:r>
      <w:proofErr w:type="gramStart"/>
      <w:r w:rsidRPr="00192EE3">
        <w:rPr>
          <w:lang w:val="es-MX"/>
        </w:rPr>
        <w:t xml:space="preserve">28( </w:t>
      </w:r>
      <w:proofErr w:type="spellStart"/>
      <w:r w:rsidRPr="00192EE3">
        <w:rPr>
          <w:lang w:val="es-MX"/>
        </w:rPr>
        <w:t>spe</w:t>
      </w:r>
      <w:proofErr w:type="spellEnd"/>
      <w:proofErr w:type="gramEnd"/>
      <w:r w:rsidRPr="00192EE3">
        <w:rPr>
          <w:lang w:val="es-MX"/>
        </w:rPr>
        <w:t xml:space="preserve"> ): 7-15. Disponible en: </w:t>
      </w:r>
      <w:hyperlink r:id="rId6" w:history="1">
        <w:r w:rsidR="008F287B" w:rsidRPr="00C454B0">
          <w:rPr>
            <w:rStyle w:val="Hipervnculo"/>
            <w:lang w:val="es-MX"/>
          </w:rPr>
          <w:t>http://www.scielo.org.mx/scielo.php?script=sci_arttext&amp;pid=S0187-31802008000300002&amp;lng=es.m</w:t>
        </w:r>
      </w:hyperlink>
      <w:r w:rsidR="008F287B">
        <w:rPr>
          <w:lang w:val="es-MX"/>
        </w:rPr>
        <w:t xml:space="preserve"> </w:t>
      </w:r>
    </w:p>
    <w:p w14:paraId="7553DF3D" w14:textId="5BD2491F" w:rsidR="00381B68" w:rsidRPr="000729CD" w:rsidRDefault="000729CD" w:rsidP="000729CD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Schultes, Richard Evans. “De </w:t>
      </w:r>
      <w:proofErr w:type="spellStart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Plantis</w:t>
      </w:r>
      <w:proofErr w:type="spellEnd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Toxicariis</w:t>
      </w:r>
      <w:proofErr w:type="spellEnd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 Mundo Novo </w:t>
      </w:r>
      <w:proofErr w:type="spellStart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Tropicale</w:t>
      </w:r>
      <w:proofErr w:type="spellEnd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Commentationes</w:t>
      </w:r>
      <w:proofErr w:type="spellEnd"/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XXIII: NOTES ON BIODYNAMIC PLANTS OF ABORIGINAL USE IN THE NORTHWESTERN AMAZONIA.” </w:t>
      </w:r>
      <w:r w:rsidRPr="000729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Botanical Museum Leaflets, Harvard University</w:t>
      </w:r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26, no. 5 (1978): 177–97. </w:t>
      </w:r>
      <w:hyperlink r:id="rId7" w:history="1">
        <w:r w:rsidR="00425E27" w:rsidRPr="000243C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MX"/>
            <w14:ligatures w14:val="none"/>
          </w:rPr>
          <w:t>http://www.jstor.org/stable/41762796</w:t>
        </w:r>
      </w:hyperlink>
      <w:r w:rsidRPr="000729C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  <w:r w:rsidR="00425E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CFEB04A" w14:textId="77777777" w:rsidR="001C2334" w:rsidRPr="008D7E6D" w:rsidRDefault="001C2334" w:rsidP="001C2334">
      <w:pPr>
        <w:numPr>
          <w:ilvl w:val="0"/>
          <w:numId w:val="1"/>
        </w:numPr>
        <w:rPr>
          <w:lang w:val="es-MX"/>
        </w:rPr>
      </w:pPr>
      <w:r w:rsidRPr="008D7E6D">
        <w:rPr>
          <w:b/>
          <w:bCs/>
          <w:lang w:val="es-MX"/>
        </w:rPr>
        <w:t xml:space="preserve">Heim Roger, </w:t>
      </w:r>
      <w:proofErr w:type="gramStart"/>
      <w:r w:rsidRPr="008D7E6D">
        <w:rPr>
          <w:b/>
          <w:bCs/>
          <w:lang w:val="es-MX"/>
        </w:rPr>
        <w:t>“ Les</w:t>
      </w:r>
      <w:proofErr w:type="gramEnd"/>
      <w:r w:rsidRPr="008D7E6D">
        <w:rPr>
          <w:b/>
          <w:bCs/>
          <w:lang w:val="es-MX"/>
        </w:rPr>
        <w:t xml:space="preserve"> </w:t>
      </w:r>
      <w:proofErr w:type="spellStart"/>
      <w:r w:rsidRPr="008D7E6D">
        <w:rPr>
          <w:b/>
          <w:bCs/>
          <w:lang w:val="es-MX"/>
        </w:rPr>
        <w:t>Champignons</w:t>
      </w:r>
      <w:proofErr w:type="spellEnd"/>
      <w:r w:rsidRPr="008D7E6D">
        <w:rPr>
          <w:b/>
          <w:bCs/>
          <w:lang w:val="es-MX"/>
        </w:rPr>
        <w:t xml:space="preserve"> </w:t>
      </w:r>
      <w:proofErr w:type="spellStart"/>
      <w:r w:rsidRPr="008D7E6D">
        <w:rPr>
          <w:b/>
          <w:bCs/>
          <w:lang w:val="es-MX"/>
        </w:rPr>
        <w:t>Hallucinogènes</w:t>
      </w:r>
      <w:proofErr w:type="spellEnd"/>
      <w:r w:rsidRPr="008D7E6D">
        <w:rPr>
          <w:b/>
          <w:bCs/>
          <w:lang w:val="es-MX"/>
        </w:rPr>
        <w:t xml:space="preserve"> du </w:t>
      </w:r>
      <w:proofErr w:type="spellStart"/>
      <w:r w:rsidRPr="008D7E6D">
        <w:rPr>
          <w:b/>
          <w:bCs/>
          <w:lang w:val="es-MX"/>
        </w:rPr>
        <w:t>Mexique</w:t>
      </w:r>
      <w:proofErr w:type="spellEnd"/>
      <w:r w:rsidRPr="008D7E6D">
        <w:rPr>
          <w:b/>
          <w:bCs/>
          <w:lang w:val="es-MX"/>
        </w:rPr>
        <w:t xml:space="preserve">”, Paris, </w:t>
      </w:r>
      <w:proofErr w:type="spellStart"/>
      <w:r w:rsidRPr="008D7E6D">
        <w:rPr>
          <w:b/>
          <w:bCs/>
          <w:lang w:val="es-MX"/>
        </w:rPr>
        <w:t>Museum</w:t>
      </w:r>
      <w:proofErr w:type="spellEnd"/>
      <w:r w:rsidRPr="008D7E6D">
        <w:rPr>
          <w:b/>
          <w:bCs/>
          <w:lang w:val="es-MX"/>
        </w:rPr>
        <w:t xml:space="preserve"> </w:t>
      </w:r>
      <w:proofErr w:type="spellStart"/>
      <w:r w:rsidRPr="008D7E6D">
        <w:rPr>
          <w:b/>
          <w:bCs/>
          <w:lang w:val="es-MX"/>
        </w:rPr>
        <w:t>National</w:t>
      </w:r>
      <w:proofErr w:type="spellEnd"/>
      <w:r w:rsidRPr="008D7E6D">
        <w:rPr>
          <w:b/>
          <w:bCs/>
          <w:lang w:val="es-MX"/>
        </w:rPr>
        <w:t xml:space="preserve"> </w:t>
      </w:r>
      <w:proofErr w:type="spellStart"/>
      <w:r w:rsidRPr="008D7E6D">
        <w:rPr>
          <w:b/>
          <w:bCs/>
          <w:lang w:val="es-MX"/>
        </w:rPr>
        <w:t>d'Histoire</w:t>
      </w:r>
      <w:proofErr w:type="spellEnd"/>
      <w:r w:rsidRPr="008D7E6D">
        <w:rPr>
          <w:b/>
          <w:bCs/>
          <w:lang w:val="es-MX"/>
        </w:rPr>
        <w:t xml:space="preserve"> Naturelle. 1958</w:t>
      </w:r>
    </w:p>
    <w:p w14:paraId="17D66D08" w14:textId="77777777" w:rsidR="001C2334" w:rsidRPr="008D7E6D" w:rsidRDefault="001C2334" w:rsidP="001C2334">
      <w:pPr>
        <w:numPr>
          <w:ilvl w:val="0"/>
          <w:numId w:val="1"/>
        </w:numPr>
        <w:rPr>
          <w:lang w:val="es-MX"/>
        </w:rPr>
      </w:pPr>
      <w:proofErr w:type="spellStart"/>
      <w:r w:rsidRPr="008D7E6D">
        <w:rPr>
          <w:b/>
          <w:bCs/>
          <w:lang w:val="es-MX"/>
        </w:rPr>
        <w:t>Sahágun</w:t>
      </w:r>
      <w:proofErr w:type="spellEnd"/>
      <w:r w:rsidRPr="008D7E6D">
        <w:rPr>
          <w:b/>
          <w:bCs/>
          <w:lang w:val="es-MX"/>
        </w:rPr>
        <w:t xml:space="preserve"> Bernardino, “Historia general de las cosas de Nueva España</w:t>
      </w:r>
      <w:proofErr w:type="gramStart"/>
      <w:r w:rsidRPr="008D7E6D">
        <w:rPr>
          <w:b/>
          <w:bCs/>
          <w:lang w:val="es-MX"/>
        </w:rPr>
        <w:t>”,(</w:t>
      </w:r>
      <w:proofErr w:type="gramEnd"/>
      <w:r w:rsidRPr="008D7E6D">
        <w:rPr>
          <w:b/>
          <w:bCs/>
          <w:lang w:val="es-MX"/>
        </w:rPr>
        <w:t xml:space="preserve">México, Ed. Pedro Robledo, 1938), </w:t>
      </w:r>
      <w:proofErr w:type="spellStart"/>
      <w:r w:rsidRPr="008D7E6D">
        <w:rPr>
          <w:b/>
          <w:bCs/>
          <w:lang w:val="es-MX"/>
        </w:rPr>
        <w:t>lib</w:t>
      </w:r>
      <w:proofErr w:type="spellEnd"/>
      <w:r w:rsidRPr="008D7E6D">
        <w:rPr>
          <w:b/>
          <w:bCs/>
          <w:lang w:val="es-MX"/>
        </w:rPr>
        <w:t xml:space="preserve"> </w:t>
      </w:r>
      <w:proofErr w:type="spellStart"/>
      <w:r w:rsidRPr="008D7E6D">
        <w:rPr>
          <w:b/>
          <w:bCs/>
          <w:lang w:val="es-MX"/>
        </w:rPr>
        <w:t>Xl</w:t>
      </w:r>
      <w:proofErr w:type="spellEnd"/>
      <w:r w:rsidRPr="008D7E6D">
        <w:rPr>
          <w:b/>
          <w:bCs/>
          <w:lang w:val="es-MX"/>
        </w:rPr>
        <w:t xml:space="preserve">, cap. 7, par.1; lib. </w:t>
      </w:r>
      <w:proofErr w:type="spellStart"/>
      <w:r w:rsidRPr="008D7E6D">
        <w:rPr>
          <w:b/>
          <w:bCs/>
          <w:lang w:val="es-MX"/>
        </w:rPr>
        <w:t>lX</w:t>
      </w:r>
      <w:proofErr w:type="spellEnd"/>
      <w:r w:rsidRPr="008D7E6D">
        <w:rPr>
          <w:b/>
          <w:bCs/>
          <w:lang w:val="es-MX"/>
        </w:rPr>
        <w:t>, cap.8 Tomos I y II</w:t>
      </w:r>
    </w:p>
    <w:p w14:paraId="4E2472AB" w14:textId="77777777" w:rsidR="001C2334" w:rsidRPr="008D7E6D" w:rsidRDefault="001C2334" w:rsidP="001C2334">
      <w:pPr>
        <w:numPr>
          <w:ilvl w:val="0"/>
          <w:numId w:val="1"/>
        </w:numPr>
        <w:rPr>
          <w:lang w:val="es-MX"/>
        </w:rPr>
      </w:pPr>
      <w:r w:rsidRPr="008D7E6D">
        <w:rPr>
          <w:b/>
          <w:bCs/>
          <w:lang w:val="es-MX"/>
        </w:rPr>
        <w:t>Duran, D. 1967. Historia de las Indias de Nueva España.</w:t>
      </w:r>
    </w:p>
    <w:p w14:paraId="0537E1D5" w14:textId="77777777" w:rsidR="00381B68" w:rsidRPr="007847D9" w:rsidRDefault="00381B68" w:rsidP="007847D9">
      <w:pPr>
        <w:numPr>
          <w:ilvl w:val="0"/>
          <w:numId w:val="1"/>
        </w:numPr>
        <w:rPr>
          <w:lang w:val="es-MX"/>
        </w:rPr>
      </w:pPr>
    </w:p>
    <w:p w14:paraId="2683E2C3" w14:textId="77777777" w:rsidR="007847D9" w:rsidRPr="0023380F" w:rsidRDefault="007847D9" w:rsidP="0023380F">
      <w:pPr>
        <w:rPr>
          <w:lang w:val="es-MX"/>
        </w:rPr>
      </w:pPr>
    </w:p>
    <w:sectPr w:rsidR="007847D9" w:rsidRPr="00233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6F6"/>
    <w:multiLevelType w:val="multilevel"/>
    <w:tmpl w:val="0A2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0F52"/>
    <w:multiLevelType w:val="multilevel"/>
    <w:tmpl w:val="EEF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46D5"/>
    <w:multiLevelType w:val="multilevel"/>
    <w:tmpl w:val="315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81116"/>
    <w:multiLevelType w:val="multilevel"/>
    <w:tmpl w:val="604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D3C3A"/>
    <w:multiLevelType w:val="multilevel"/>
    <w:tmpl w:val="607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F3052"/>
    <w:multiLevelType w:val="multilevel"/>
    <w:tmpl w:val="F7A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0C66"/>
    <w:multiLevelType w:val="multilevel"/>
    <w:tmpl w:val="C8B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60D35"/>
    <w:multiLevelType w:val="multilevel"/>
    <w:tmpl w:val="C6B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527A2"/>
    <w:multiLevelType w:val="multilevel"/>
    <w:tmpl w:val="560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76454"/>
    <w:multiLevelType w:val="multilevel"/>
    <w:tmpl w:val="8FE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5006B"/>
    <w:multiLevelType w:val="multilevel"/>
    <w:tmpl w:val="791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21DFA"/>
    <w:multiLevelType w:val="multilevel"/>
    <w:tmpl w:val="6E4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C0F80"/>
    <w:multiLevelType w:val="multilevel"/>
    <w:tmpl w:val="BEE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107AA"/>
    <w:multiLevelType w:val="multilevel"/>
    <w:tmpl w:val="884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66A49"/>
    <w:multiLevelType w:val="singleLevel"/>
    <w:tmpl w:val="B9DCC948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webHidden w:val="0"/>
        <w:color w:val="000000" w:themeColor="text1"/>
        <w:sz w:val="18"/>
        <w:u w:val="none"/>
        <w:effect w:val="none"/>
        <w:vertAlign w:val="superscript"/>
        <w:specVanish w:val="0"/>
      </w:rPr>
    </w:lvl>
  </w:abstractNum>
  <w:abstractNum w:abstractNumId="15" w15:restartNumberingAfterBreak="0">
    <w:nsid w:val="192132AB"/>
    <w:multiLevelType w:val="multilevel"/>
    <w:tmpl w:val="1FD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76E74"/>
    <w:multiLevelType w:val="multilevel"/>
    <w:tmpl w:val="361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E2529"/>
    <w:multiLevelType w:val="multilevel"/>
    <w:tmpl w:val="87D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06210"/>
    <w:multiLevelType w:val="multilevel"/>
    <w:tmpl w:val="8D0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C5768"/>
    <w:multiLevelType w:val="multilevel"/>
    <w:tmpl w:val="121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D4005"/>
    <w:multiLevelType w:val="multilevel"/>
    <w:tmpl w:val="A54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53796"/>
    <w:multiLevelType w:val="multilevel"/>
    <w:tmpl w:val="448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D63A0"/>
    <w:multiLevelType w:val="multilevel"/>
    <w:tmpl w:val="6238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84080"/>
    <w:multiLevelType w:val="multilevel"/>
    <w:tmpl w:val="602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F0275"/>
    <w:multiLevelType w:val="multilevel"/>
    <w:tmpl w:val="FB3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73B3A"/>
    <w:multiLevelType w:val="multilevel"/>
    <w:tmpl w:val="C8C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B34EB"/>
    <w:multiLevelType w:val="multilevel"/>
    <w:tmpl w:val="CDE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65EC3"/>
    <w:multiLevelType w:val="multilevel"/>
    <w:tmpl w:val="5EC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5117A"/>
    <w:multiLevelType w:val="multilevel"/>
    <w:tmpl w:val="56C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108AA"/>
    <w:multiLevelType w:val="multilevel"/>
    <w:tmpl w:val="09C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56B75"/>
    <w:multiLevelType w:val="multilevel"/>
    <w:tmpl w:val="8B0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C7808"/>
    <w:multiLevelType w:val="multilevel"/>
    <w:tmpl w:val="440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B1EBB"/>
    <w:multiLevelType w:val="multilevel"/>
    <w:tmpl w:val="59D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970C3"/>
    <w:multiLevelType w:val="multilevel"/>
    <w:tmpl w:val="718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111A0"/>
    <w:multiLevelType w:val="multilevel"/>
    <w:tmpl w:val="CEC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36A08"/>
    <w:multiLevelType w:val="multilevel"/>
    <w:tmpl w:val="DFD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76AB7"/>
    <w:multiLevelType w:val="multilevel"/>
    <w:tmpl w:val="9F7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A5ECB"/>
    <w:multiLevelType w:val="multilevel"/>
    <w:tmpl w:val="9C9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95637"/>
    <w:multiLevelType w:val="multilevel"/>
    <w:tmpl w:val="7AF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27BB7"/>
    <w:multiLevelType w:val="multilevel"/>
    <w:tmpl w:val="F33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B0B68"/>
    <w:multiLevelType w:val="multilevel"/>
    <w:tmpl w:val="7B8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04072"/>
    <w:multiLevelType w:val="multilevel"/>
    <w:tmpl w:val="513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13853"/>
    <w:multiLevelType w:val="multilevel"/>
    <w:tmpl w:val="EF0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786156"/>
    <w:multiLevelType w:val="multilevel"/>
    <w:tmpl w:val="F98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918EF"/>
    <w:multiLevelType w:val="multilevel"/>
    <w:tmpl w:val="9A7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40DCE"/>
    <w:multiLevelType w:val="multilevel"/>
    <w:tmpl w:val="A20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C40B2B"/>
    <w:multiLevelType w:val="multilevel"/>
    <w:tmpl w:val="5FE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9958D4"/>
    <w:multiLevelType w:val="multilevel"/>
    <w:tmpl w:val="20F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24B2A"/>
    <w:multiLevelType w:val="multilevel"/>
    <w:tmpl w:val="C3F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B10B0B"/>
    <w:multiLevelType w:val="multilevel"/>
    <w:tmpl w:val="90A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511541"/>
    <w:multiLevelType w:val="multilevel"/>
    <w:tmpl w:val="1EE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D759F"/>
    <w:multiLevelType w:val="multilevel"/>
    <w:tmpl w:val="653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134485"/>
    <w:multiLevelType w:val="multilevel"/>
    <w:tmpl w:val="CD9E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97616"/>
    <w:multiLevelType w:val="multilevel"/>
    <w:tmpl w:val="087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C61C4"/>
    <w:multiLevelType w:val="multilevel"/>
    <w:tmpl w:val="D77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366CD"/>
    <w:multiLevelType w:val="multilevel"/>
    <w:tmpl w:val="191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A7E27"/>
    <w:multiLevelType w:val="multilevel"/>
    <w:tmpl w:val="F076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356389">
    <w:abstractNumId w:val="14"/>
    <w:lvlOverride w:ilvl="0">
      <w:startOverride w:val="1"/>
    </w:lvlOverride>
  </w:num>
  <w:num w:numId="2" w16cid:durableId="303779911">
    <w:abstractNumId w:val="44"/>
  </w:num>
  <w:num w:numId="3" w16cid:durableId="472139307">
    <w:abstractNumId w:val="31"/>
  </w:num>
  <w:num w:numId="4" w16cid:durableId="1724937369">
    <w:abstractNumId w:val="19"/>
  </w:num>
  <w:num w:numId="5" w16cid:durableId="2073889317">
    <w:abstractNumId w:val="50"/>
  </w:num>
  <w:num w:numId="6" w16cid:durableId="1085221035">
    <w:abstractNumId w:val="21"/>
  </w:num>
  <w:num w:numId="7" w16cid:durableId="803499164">
    <w:abstractNumId w:val="46"/>
  </w:num>
  <w:num w:numId="8" w16cid:durableId="2004772598">
    <w:abstractNumId w:val="26"/>
  </w:num>
  <w:num w:numId="9" w16cid:durableId="1957061128">
    <w:abstractNumId w:val="28"/>
  </w:num>
  <w:num w:numId="10" w16cid:durableId="627395675">
    <w:abstractNumId w:val="40"/>
  </w:num>
  <w:num w:numId="11" w16cid:durableId="502932521">
    <w:abstractNumId w:val="16"/>
  </w:num>
  <w:num w:numId="12" w16cid:durableId="2086879919">
    <w:abstractNumId w:val="36"/>
  </w:num>
  <w:num w:numId="13" w16cid:durableId="486434253">
    <w:abstractNumId w:val="34"/>
  </w:num>
  <w:num w:numId="14" w16cid:durableId="1718044190">
    <w:abstractNumId w:val="25"/>
  </w:num>
  <w:num w:numId="15" w16cid:durableId="1773433538">
    <w:abstractNumId w:val="37"/>
  </w:num>
  <w:num w:numId="16" w16cid:durableId="1885170650">
    <w:abstractNumId w:val="56"/>
  </w:num>
  <w:num w:numId="17" w16cid:durableId="1627588444">
    <w:abstractNumId w:val="55"/>
  </w:num>
  <w:num w:numId="18" w16cid:durableId="982319936">
    <w:abstractNumId w:val="10"/>
  </w:num>
  <w:num w:numId="19" w16cid:durableId="161508371">
    <w:abstractNumId w:val="22"/>
  </w:num>
  <w:num w:numId="20" w16cid:durableId="1118840830">
    <w:abstractNumId w:val="52"/>
  </w:num>
  <w:num w:numId="21" w16cid:durableId="514541433">
    <w:abstractNumId w:val="7"/>
  </w:num>
  <w:num w:numId="22" w16cid:durableId="2021615003">
    <w:abstractNumId w:val="41"/>
  </w:num>
  <w:num w:numId="23" w16cid:durableId="1883903985">
    <w:abstractNumId w:val="18"/>
  </w:num>
  <w:num w:numId="24" w16cid:durableId="1084372311">
    <w:abstractNumId w:val="8"/>
  </w:num>
  <w:num w:numId="25" w16cid:durableId="1338772002">
    <w:abstractNumId w:val="0"/>
  </w:num>
  <w:num w:numId="26" w16cid:durableId="52777843">
    <w:abstractNumId w:val="47"/>
  </w:num>
  <w:num w:numId="27" w16cid:durableId="1441222118">
    <w:abstractNumId w:val="12"/>
  </w:num>
  <w:num w:numId="28" w16cid:durableId="1548755804">
    <w:abstractNumId w:val="53"/>
  </w:num>
  <w:num w:numId="29" w16cid:durableId="422264408">
    <w:abstractNumId w:val="39"/>
  </w:num>
  <w:num w:numId="30" w16cid:durableId="481698249">
    <w:abstractNumId w:val="51"/>
  </w:num>
  <w:num w:numId="31" w16cid:durableId="1323653830">
    <w:abstractNumId w:val="33"/>
  </w:num>
  <w:num w:numId="32" w16cid:durableId="1143692352">
    <w:abstractNumId w:val="6"/>
  </w:num>
  <w:num w:numId="33" w16cid:durableId="244844873">
    <w:abstractNumId w:val="42"/>
  </w:num>
  <w:num w:numId="34" w16cid:durableId="1981038503">
    <w:abstractNumId w:val="48"/>
  </w:num>
  <w:num w:numId="35" w16cid:durableId="890312513">
    <w:abstractNumId w:val="15"/>
  </w:num>
  <w:num w:numId="36" w16cid:durableId="912542943">
    <w:abstractNumId w:val="45"/>
  </w:num>
  <w:num w:numId="37" w16cid:durableId="1585914830">
    <w:abstractNumId w:val="35"/>
  </w:num>
  <w:num w:numId="38" w16cid:durableId="1929650411">
    <w:abstractNumId w:val="38"/>
  </w:num>
  <w:num w:numId="39" w16cid:durableId="1815488114">
    <w:abstractNumId w:val="5"/>
  </w:num>
  <w:num w:numId="40" w16cid:durableId="1783960378">
    <w:abstractNumId w:val="24"/>
  </w:num>
  <w:num w:numId="41" w16cid:durableId="1655915208">
    <w:abstractNumId w:val="13"/>
  </w:num>
  <w:num w:numId="42" w16cid:durableId="1168252682">
    <w:abstractNumId w:val="27"/>
  </w:num>
  <w:num w:numId="43" w16cid:durableId="1356495958">
    <w:abstractNumId w:val="32"/>
  </w:num>
  <w:num w:numId="44" w16cid:durableId="1168985157">
    <w:abstractNumId w:val="49"/>
  </w:num>
  <w:num w:numId="45" w16cid:durableId="1916742961">
    <w:abstractNumId w:val="11"/>
  </w:num>
  <w:num w:numId="46" w16cid:durableId="576591651">
    <w:abstractNumId w:val="23"/>
  </w:num>
  <w:num w:numId="47" w16cid:durableId="1585727860">
    <w:abstractNumId w:val="29"/>
  </w:num>
  <w:num w:numId="48" w16cid:durableId="1915772269">
    <w:abstractNumId w:val="20"/>
  </w:num>
  <w:num w:numId="49" w16cid:durableId="1473862739">
    <w:abstractNumId w:val="9"/>
  </w:num>
  <w:num w:numId="50" w16cid:durableId="1147822408">
    <w:abstractNumId w:val="2"/>
  </w:num>
  <w:num w:numId="51" w16cid:durableId="1684088320">
    <w:abstractNumId w:val="3"/>
  </w:num>
  <w:num w:numId="52" w16cid:durableId="1647319034">
    <w:abstractNumId w:val="17"/>
  </w:num>
  <w:num w:numId="53" w16cid:durableId="277414168">
    <w:abstractNumId w:val="1"/>
  </w:num>
  <w:num w:numId="54" w16cid:durableId="1294019430">
    <w:abstractNumId w:val="30"/>
  </w:num>
  <w:num w:numId="55" w16cid:durableId="1471631539">
    <w:abstractNumId w:val="54"/>
  </w:num>
  <w:num w:numId="56" w16cid:durableId="904990545">
    <w:abstractNumId w:val="4"/>
  </w:num>
  <w:num w:numId="57" w16cid:durableId="7428019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2A"/>
    <w:rsid w:val="0003741E"/>
    <w:rsid w:val="000500A9"/>
    <w:rsid w:val="00056016"/>
    <w:rsid w:val="00061B32"/>
    <w:rsid w:val="000729CD"/>
    <w:rsid w:val="00100433"/>
    <w:rsid w:val="0016343C"/>
    <w:rsid w:val="001663D7"/>
    <w:rsid w:val="0017271E"/>
    <w:rsid w:val="001735DD"/>
    <w:rsid w:val="00192EE3"/>
    <w:rsid w:val="001B4A67"/>
    <w:rsid w:val="001C2334"/>
    <w:rsid w:val="00204C9D"/>
    <w:rsid w:val="00223EF3"/>
    <w:rsid w:val="0023380F"/>
    <w:rsid w:val="002340FC"/>
    <w:rsid w:val="00261F61"/>
    <w:rsid w:val="00273732"/>
    <w:rsid w:val="002A015B"/>
    <w:rsid w:val="00305DD8"/>
    <w:rsid w:val="00321F72"/>
    <w:rsid w:val="0036395B"/>
    <w:rsid w:val="003817B1"/>
    <w:rsid w:val="00381B68"/>
    <w:rsid w:val="003874DC"/>
    <w:rsid w:val="003D4E43"/>
    <w:rsid w:val="00411B71"/>
    <w:rsid w:val="00425E27"/>
    <w:rsid w:val="00427F2C"/>
    <w:rsid w:val="00473955"/>
    <w:rsid w:val="004C5A8A"/>
    <w:rsid w:val="004E3C30"/>
    <w:rsid w:val="005024CE"/>
    <w:rsid w:val="005B7715"/>
    <w:rsid w:val="005D7919"/>
    <w:rsid w:val="00662C4E"/>
    <w:rsid w:val="006B565F"/>
    <w:rsid w:val="007847D9"/>
    <w:rsid w:val="007B3F14"/>
    <w:rsid w:val="007B43CB"/>
    <w:rsid w:val="0082569C"/>
    <w:rsid w:val="00891A69"/>
    <w:rsid w:val="008B5A94"/>
    <w:rsid w:val="008D7E6D"/>
    <w:rsid w:val="008F287B"/>
    <w:rsid w:val="008F79B2"/>
    <w:rsid w:val="00907E57"/>
    <w:rsid w:val="00914245"/>
    <w:rsid w:val="009305E2"/>
    <w:rsid w:val="009547D2"/>
    <w:rsid w:val="00955941"/>
    <w:rsid w:val="00A6522F"/>
    <w:rsid w:val="00A80F70"/>
    <w:rsid w:val="00AC0A47"/>
    <w:rsid w:val="00AF0CB7"/>
    <w:rsid w:val="00B00535"/>
    <w:rsid w:val="00B43B05"/>
    <w:rsid w:val="00BD6C58"/>
    <w:rsid w:val="00C40350"/>
    <w:rsid w:val="00C40CD4"/>
    <w:rsid w:val="00C566AB"/>
    <w:rsid w:val="00CB4D5A"/>
    <w:rsid w:val="00CE70D9"/>
    <w:rsid w:val="00D16E22"/>
    <w:rsid w:val="00D64FB4"/>
    <w:rsid w:val="00D67D71"/>
    <w:rsid w:val="00D838C6"/>
    <w:rsid w:val="00E102DA"/>
    <w:rsid w:val="00E77C2A"/>
    <w:rsid w:val="00EE01D3"/>
    <w:rsid w:val="00EE2D38"/>
    <w:rsid w:val="00F252F5"/>
    <w:rsid w:val="00F45471"/>
    <w:rsid w:val="00FF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4916"/>
  <w15:chartTrackingRefBased/>
  <w15:docId w15:val="{13EDC666-84E9-4F71-85B0-49ED686A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C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C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C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C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C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C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C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C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C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C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C2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7E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stor.org/stable/417627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ielo.org.mx/scielo.php?script=sci_arttext&amp;pid=S0187-31802008000300002&amp;lng=es.m" TargetMode="External"/><Relationship Id="rId5" Type="http://schemas.openxmlformats.org/officeDocument/2006/relationships/hyperlink" Target="http://www.redalyc.org/articulo.oa?id='142403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1236</Words>
  <Characters>6800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70</cp:revision>
  <dcterms:created xsi:type="dcterms:W3CDTF">2026-04-01T02:36:00Z</dcterms:created>
  <dcterms:modified xsi:type="dcterms:W3CDTF">2026-04-01T10:02:00Z</dcterms:modified>
</cp:coreProperties>
</file>