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629C" w14:textId="77777777" w:rsidR="00E75D44" w:rsidRDefault="006631C3">
      <w:pPr>
        <w:rPr>
          <w:lang w:val="es-MX"/>
        </w:rPr>
      </w:pPr>
      <w:r w:rsidRPr="00786706">
        <w:rPr>
          <w:lang w:val="es-MX"/>
        </w:rPr>
        <w:t>El uso recreativo de la psilocibina se caracteriza por la búsqueda de experiencias placenteras y sensoriales, sin necesariamente tener objetivos terapéuticos o espirituales. Muchas personas consumen hongos psilocibios en ambientes sociales o festivales, donde los efectos incluyen alteraciones visuales, sensación de bienestar y una percepción intensificada de la música y el entorno. Además, la psilocibina puede provocar risas espontáneas y un estado de introspección, aunque es fundamental considerar los posibles riesgos asociados al consumo irresponsable.</w:t>
      </w:r>
    </w:p>
    <w:p w14:paraId="66F69D1A" w14:textId="77777777" w:rsidR="00E75D44" w:rsidRPr="00B12FDB" w:rsidRDefault="00E75D44" w:rsidP="00E75D44">
      <w:pPr>
        <w:numPr>
          <w:ilvl w:val="0"/>
          <w:numId w:val="5"/>
        </w:numPr>
        <w:spacing w:line="256" w:lineRule="auto"/>
        <w:rPr>
          <w:rFonts w:eastAsia="Times New Roman"/>
          <w:lang w:val="es-MX"/>
        </w:rPr>
      </w:pPr>
      <w:r>
        <w:rPr>
          <w:rFonts w:eastAsia="Times New Roman"/>
          <w:b/>
          <w:bCs/>
        </w:rPr>
        <w:t>Johnson, M., Griffiths, R., &amp; Hendricks, P. (2019).</w:t>
      </w:r>
      <w:r>
        <w:rPr>
          <w:rFonts w:eastAsia="Times New Roman"/>
        </w:rPr>
        <w:t xml:space="preserve"> "The epidemiology of hallucinogen use and its impact on mental health." </w:t>
      </w:r>
      <w:r w:rsidRPr="00B12FDB">
        <w:rPr>
          <w:rFonts w:eastAsia="Times New Roman"/>
          <w:i/>
          <w:iCs/>
          <w:lang w:val="es-MX"/>
        </w:rPr>
        <w:t xml:space="preserve">Current </w:t>
      </w:r>
      <w:proofErr w:type="spellStart"/>
      <w:r w:rsidRPr="00B12FDB">
        <w:rPr>
          <w:rFonts w:eastAsia="Times New Roman"/>
          <w:i/>
          <w:iCs/>
          <w:lang w:val="es-MX"/>
        </w:rPr>
        <w:t>Opinion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in </w:t>
      </w:r>
      <w:proofErr w:type="spellStart"/>
      <w:r w:rsidRPr="00B12FDB">
        <w:rPr>
          <w:rFonts w:eastAsia="Times New Roman"/>
          <w:i/>
          <w:iCs/>
          <w:lang w:val="es-MX"/>
        </w:rPr>
        <w:t>Psychiatry</w:t>
      </w:r>
      <w:proofErr w:type="spellEnd"/>
      <w:r w:rsidRPr="00B12FDB">
        <w:rPr>
          <w:rFonts w:eastAsia="Times New Roman"/>
          <w:lang w:val="es-MX"/>
        </w:rPr>
        <w:t>, 32(5), 397-403. Este artículo analiza el consumo de psilocibina en contextos recreativos y sus efectos sensoriales y emocionales, destacando la prevalencia de su uso en ambientes sociales.</w:t>
      </w:r>
    </w:p>
    <w:p w14:paraId="1DF5DC71" w14:textId="77777777" w:rsidR="00E75D44" w:rsidRPr="00B12FDB" w:rsidRDefault="00E75D44" w:rsidP="00E75D44">
      <w:pPr>
        <w:numPr>
          <w:ilvl w:val="0"/>
          <w:numId w:val="5"/>
        </w:numPr>
        <w:spacing w:line="256" w:lineRule="auto"/>
        <w:rPr>
          <w:rFonts w:eastAsia="Times New Roman"/>
          <w:lang w:val="es-MX"/>
        </w:rPr>
      </w:pPr>
      <w:proofErr w:type="spellStart"/>
      <w:r>
        <w:rPr>
          <w:rFonts w:eastAsia="Times New Roman"/>
          <w:b/>
          <w:bCs/>
        </w:rPr>
        <w:t>Studerus</w:t>
      </w:r>
      <w:proofErr w:type="spellEnd"/>
      <w:r>
        <w:rPr>
          <w:rFonts w:eastAsia="Times New Roman"/>
          <w:b/>
          <w:bCs/>
        </w:rPr>
        <w:t xml:space="preserve">, E., </w:t>
      </w:r>
      <w:proofErr w:type="spellStart"/>
      <w:r>
        <w:rPr>
          <w:rFonts w:eastAsia="Times New Roman"/>
          <w:b/>
          <w:bCs/>
        </w:rPr>
        <w:t>Kometer</w:t>
      </w:r>
      <w:proofErr w:type="spellEnd"/>
      <w:r>
        <w:rPr>
          <w:rFonts w:eastAsia="Times New Roman"/>
          <w:b/>
          <w:bCs/>
        </w:rPr>
        <w:t>, M., Hasler, F., &amp; Vollenweider, F. (2011).</w:t>
      </w:r>
      <w:r>
        <w:rPr>
          <w:rFonts w:eastAsia="Times New Roman"/>
        </w:rPr>
        <w:t xml:space="preserve"> "Acute, subacute and long-term subjective effects of psilocybin in healthy humans: a pooled analysis of experimental studies." </w:t>
      </w:r>
      <w:proofErr w:type="spellStart"/>
      <w:r w:rsidRPr="00B12FDB">
        <w:rPr>
          <w:rFonts w:eastAsia="Times New Roman"/>
          <w:i/>
          <w:iCs/>
          <w:lang w:val="es-MX"/>
        </w:rPr>
        <w:t>Journal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</w:t>
      </w:r>
      <w:proofErr w:type="spellStart"/>
      <w:r w:rsidRPr="00B12FDB">
        <w:rPr>
          <w:rFonts w:eastAsia="Times New Roman"/>
          <w:i/>
          <w:iCs/>
          <w:lang w:val="es-MX"/>
        </w:rPr>
        <w:t>of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</w:t>
      </w:r>
      <w:proofErr w:type="spellStart"/>
      <w:r w:rsidRPr="00B12FDB">
        <w:rPr>
          <w:rFonts w:eastAsia="Times New Roman"/>
          <w:i/>
          <w:iCs/>
          <w:lang w:val="es-MX"/>
        </w:rPr>
        <w:t>Psychopharmacology</w:t>
      </w:r>
      <w:proofErr w:type="spellEnd"/>
      <w:r w:rsidRPr="00B12FDB">
        <w:rPr>
          <w:rFonts w:eastAsia="Times New Roman"/>
          <w:lang w:val="es-MX"/>
        </w:rPr>
        <w:t>, 25(11), 1434–1452. Este estudio describe los efectos visuales, el incremento del bienestar y la percepción intensificada de la música y el entorno tras el consumo de psilocibina, así como la introspección y las risas espontáneas.</w:t>
      </w:r>
    </w:p>
    <w:p w14:paraId="7C16A766" w14:textId="77777777" w:rsidR="00E75D44" w:rsidRPr="00B12FDB" w:rsidRDefault="00E75D44" w:rsidP="00E75D44">
      <w:pPr>
        <w:numPr>
          <w:ilvl w:val="0"/>
          <w:numId w:val="5"/>
        </w:numPr>
        <w:spacing w:line="256" w:lineRule="auto"/>
        <w:rPr>
          <w:rFonts w:eastAsia="Times New Roman"/>
          <w:lang w:val="es-MX"/>
        </w:rPr>
      </w:pPr>
      <w:r>
        <w:rPr>
          <w:rFonts w:eastAsia="Times New Roman"/>
          <w:b/>
          <w:bCs/>
        </w:rPr>
        <w:t>Carhart-Harris, R. L., &amp; Nutt, D. J. (2010).</w:t>
      </w:r>
      <w:r>
        <w:rPr>
          <w:rFonts w:eastAsia="Times New Roman"/>
        </w:rPr>
        <w:t xml:space="preserve"> "User perceptions of the benefits and risks of hallucinogenic drug use: a web-based questionnaire study." </w:t>
      </w:r>
      <w:proofErr w:type="spellStart"/>
      <w:r w:rsidRPr="00B12FDB">
        <w:rPr>
          <w:rFonts w:eastAsia="Times New Roman"/>
          <w:i/>
          <w:iCs/>
          <w:lang w:val="es-MX"/>
        </w:rPr>
        <w:t>Journal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</w:t>
      </w:r>
      <w:proofErr w:type="spellStart"/>
      <w:r w:rsidRPr="00B12FDB">
        <w:rPr>
          <w:rFonts w:eastAsia="Times New Roman"/>
          <w:i/>
          <w:iCs/>
          <w:lang w:val="es-MX"/>
        </w:rPr>
        <w:t>of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</w:t>
      </w:r>
      <w:proofErr w:type="spellStart"/>
      <w:r w:rsidRPr="00B12FDB">
        <w:rPr>
          <w:rFonts w:eastAsia="Times New Roman"/>
          <w:i/>
          <w:iCs/>
          <w:lang w:val="es-MX"/>
        </w:rPr>
        <w:t>Substance</w:t>
      </w:r>
      <w:proofErr w:type="spellEnd"/>
      <w:r w:rsidRPr="00B12FDB">
        <w:rPr>
          <w:rFonts w:eastAsia="Times New Roman"/>
          <w:i/>
          <w:iCs/>
          <w:lang w:val="es-MX"/>
        </w:rPr>
        <w:t xml:space="preserve"> Use</w:t>
      </w:r>
      <w:r w:rsidRPr="00B12FDB">
        <w:rPr>
          <w:rFonts w:eastAsia="Times New Roman"/>
          <w:lang w:val="es-MX"/>
        </w:rPr>
        <w:t>, 15(4), 283-300. En este artículo se abordan los riesgos asociados al consumo irresponsable de hongos psilocibios y la percepción de los usuarios sobre sus efectos recreativos.</w:t>
      </w:r>
    </w:p>
    <w:p w14:paraId="1D715319" w14:textId="77777777" w:rsidR="00730C90" w:rsidRPr="00AE3FF5" w:rsidRDefault="00730C90">
      <w:pPr>
        <w:rPr>
          <w:lang w:val="es-MX"/>
        </w:rPr>
      </w:pPr>
    </w:p>
    <w:sectPr w:rsidR="00730C90" w:rsidRPr="00AE3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71B"/>
    <w:multiLevelType w:val="multilevel"/>
    <w:tmpl w:val="856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9410B"/>
    <w:multiLevelType w:val="multilevel"/>
    <w:tmpl w:val="ECE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A5BEC"/>
    <w:multiLevelType w:val="multilevel"/>
    <w:tmpl w:val="561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7729B"/>
    <w:multiLevelType w:val="multilevel"/>
    <w:tmpl w:val="69C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C1F6E"/>
    <w:multiLevelType w:val="multilevel"/>
    <w:tmpl w:val="065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4223">
    <w:abstractNumId w:val="3"/>
  </w:num>
  <w:num w:numId="2" w16cid:durableId="1915161570">
    <w:abstractNumId w:val="2"/>
  </w:num>
  <w:num w:numId="3" w16cid:durableId="957492039">
    <w:abstractNumId w:val="4"/>
  </w:num>
  <w:num w:numId="4" w16cid:durableId="1742367315">
    <w:abstractNumId w:val="1"/>
  </w:num>
  <w:num w:numId="5" w16cid:durableId="19582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B3"/>
    <w:rsid w:val="001C2A56"/>
    <w:rsid w:val="002F1BB7"/>
    <w:rsid w:val="0031082D"/>
    <w:rsid w:val="004806B3"/>
    <w:rsid w:val="004E3C30"/>
    <w:rsid w:val="00540388"/>
    <w:rsid w:val="006631C3"/>
    <w:rsid w:val="00730C90"/>
    <w:rsid w:val="007724B1"/>
    <w:rsid w:val="00786706"/>
    <w:rsid w:val="00814A94"/>
    <w:rsid w:val="009305E2"/>
    <w:rsid w:val="00A97FD9"/>
    <w:rsid w:val="00AD30E6"/>
    <w:rsid w:val="00AE3FF5"/>
    <w:rsid w:val="00B12FDB"/>
    <w:rsid w:val="00CE037F"/>
    <w:rsid w:val="00D312B3"/>
    <w:rsid w:val="00DA4EFC"/>
    <w:rsid w:val="00E7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E52E"/>
  <w15:chartTrackingRefBased/>
  <w15:docId w15:val="{37ABBAA0-399D-4D01-80D3-44E38894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2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2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2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2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2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2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2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2B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6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867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14</cp:revision>
  <dcterms:created xsi:type="dcterms:W3CDTF">2026-02-10T00:52:00Z</dcterms:created>
  <dcterms:modified xsi:type="dcterms:W3CDTF">2026-04-01T06:37:00Z</dcterms:modified>
</cp:coreProperties>
</file>