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4F758" w14:textId="77777777" w:rsidR="00680D9B" w:rsidRDefault="00680D9B">
      <w:pPr>
        <w:rPr>
          <w:rFonts w:ascii="Arial" w:hAnsi="Arial" w:cs="Arial"/>
          <w:kern w:val="0"/>
          <w:sz w:val="24"/>
          <w:szCs w:val="24"/>
          <w:lang w:val="es-ES"/>
          <w14:ligatures w14:val="none"/>
        </w:rPr>
      </w:pPr>
      <w:r>
        <w:rPr>
          <w:rFonts w:ascii="Arial" w:hAnsi="Arial" w:cs="Arial"/>
          <w:sz w:val="24"/>
          <w:szCs w:val="24"/>
          <w:lang w:val="es-ES"/>
        </w:rPr>
        <w:t>El acompañamiento profesional en el uso social de la psilocibina es fundamental para asegurar una experiencia segura y enriquecedora. Este acompañamiento retoma principios similares a los que se observaban en el consumo ancestral de hongos, donde las ceremonias eran guiadas por personas con conocimiento profundo, como chamanes o curanderos, quienes ofrecían orientación y protección. Así como en tiempos antiguos se buscaba el bienestar y la integración comunitaria, hoy en día la presencia de expertos ayuda a prevenir riesgos, promover el respeto por la experiencia y favorecer el crecimiento personal y colectivo.</w:t>
      </w:r>
    </w:p>
    <w:p w14:paraId="0ED1C4D0" w14:textId="77777777" w:rsidR="00680D9B" w:rsidRDefault="00680D9B" w:rsidP="00680D9B">
      <w:pPr>
        <w:numPr>
          <w:ilvl w:val="0"/>
          <w:numId w:val="19"/>
        </w:numPr>
        <w:spacing w:line="256" w:lineRule="auto"/>
        <w:rPr>
          <w:rFonts w:ascii="Calibri" w:eastAsia="Times New Roman" w:hAnsi="Calibri" w:cs="Calibri"/>
          <w:lang w:val="es-ES"/>
        </w:rPr>
      </w:pPr>
      <w:r w:rsidRPr="00680D9B">
        <w:rPr>
          <w:rFonts w:ascii="Arial" w:eastAsia="Times New Roman" w:hAnsi="Arial" w:cs="Arial"/>
          <w:sz w:val="24"/>
          <w:szCs w:val="24"/>
        </w:rPr>
        <w:t xml:space="preserve">Johnson, M.W., Richards, W.A., &amp; Griffiths, R.R. (2008). "Human hallucinogen research: Guidelines for safety." </w:t>
      </w:r>
      <w:proofErr w:type="spellStart"/>
      <w:r>
        <w:rPr>
          <w:rFonts w:ascii="Arial" w:eastAsia="Times New Roman" w:hAnsi="Arial" w:cs="Arial"/>
          <w:sz w:val="24"/>
          <w:szCs w:val="24"/>
          <w:lang w:val="es-ES"/>
        </w:rPr>
        <w:t>Journal</w:t>
      </w:r>
      <w:proofErr w:type="spellEnd"/>
      <w:r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val="es-ES"/>
        </w:rPr>
        <w:t>of</w:t>
      </w:r>
      <w:proofErr w:type="spellEnd"/>
      <w:r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val="es-ES"/>
        </w:rPr>
        <w:t>Psychopharmacology</w:t>
      </w:r>
      <w:proofErr w:type="spellEnd"/>
      <w:r>
        <w:rPr>
          <w:rFonts w:ascii="Arial" w:eastAsia="Times New Roman" w:hAnsi="Arial" w:cs="Arial"/>
          <w:sz w:val="24"/>
          <w:szCs w:val="24"/>
          <w:lang w:val="es-ES"/>
        </w:rPr>
        <w:t xml:space="preserve">, 22(6), 603-620. DOI: 10.1177/0269881108093587. Este artículo aborda la importancia del acompañamiento profesional y protocolos de seguridad en investigaciones con psilocibina. </w:t>
      </w:r>
    </w:p>
    <w:p w14:paraId="20780AE0" w14:textId="77777777" w:rsidR="00680D9B" w:rsidRDefault="00680D9B" w:rsidP="00680D9B">
      <w:pPr>
        <w:numPr>
          <w:ilvl w:val="0"/>
          <w:numId w:val="19"/>
        </w:numPr>
        <w:spacing w:line="256" w:lineRule="auto"/>
        <w:rPr>
          <w:rFonts w:eastAsia="Times New Roman"/>
          <w:lang w:val="es-ES"/>
        </w:rPr>
      </w:pPr>
      <w:r w:rsidRPr="00680D9B">
        <w:rPr>
          <w:rFonts w:ascii="Arial" w:eastAsia="Times New Roman" w:hAnsi="Arial" w:cs="Arial"/>
          <w:sz w:val="24"/>
          <w:szCs w:val="24"/>
        </w:rPr>
        <w:t xml:space="preserve">Carhart-Harris, R.L. et al. (2018). "Psilocybin with psychological support for treatment-resistant depression: Six-month follow-up." </w:t>
      </w:r>
      <w:proofErr w:type="spellStart"/>
      <w:r>
        <w:rPr>
          <w:rFonts w:ascii="Arial" w:eastAsia="Times New Roman" w:hAnsi="Arial" w:cs="Arial"/>
          <w:sz w:val="24"/>
          <w:szCs w:val="24"/>
          <w:lang w:val="es-ES"/>
        </w:rPr>
        <w:t>Journal</w:t>
      </w:r>
      <w:proofErr w:type="spellEnd"/>
      <w:r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val="es-ES"/>
        </w:rPr>
        <w:t>of</w:t>
      </w:r>
      <w:proofErr w:type="spellEnd"/>
      <w:r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val="es-ES"/>
        </w:rPr>
        <w:t>Psychopharmacology</w:t>
      </w:r>
      <w:proofErr w:type="spellEnd"/>
      <w:r>
        <w:rPr>
          <w:rFonts w:ascii="Arial" w:eastAsia="Times New Roman" w:hAnsi="Arial" w:cs="Arial"/>
          <w:sz w:val="24"/>
          <w:szCs w:val="24"/>
          <w:lang w:val="es-ES"/>
        </w:rPr>
        <w:t xml:space="preserve">, 32(7), 1151–1160. DOI: 10.1177/0269881118758146. En este estudio se enfatiza el papel del acompañamiento profesional para maximizar los beneficios y minimizar riesgos. </w:t>
      </w:r>
    </w:p>
    <w:p w14:paraId="3845E667" w14:textId="77777777" w:rsidR="00680D9B" w:rsidRDefault="00680D9B" w:rsidP="00680D9B">
      <w:pPr>
        <w:numPr>
          <w:ilvl w:val="0"/>
          <w:numId w:val="19"/>
        </w:numPr>
        <w:spacing w:line="256" w:lineRule="auto"/>
        <w:rPr>
          <w:rFonts w:eastAsia="Times New Roman"/>
          <w:lang w:val="es-ES"/>
        </w:rPr>
      </w:pPr>
      <w:r w:rsidRPr="00680D9B">
        <w:rPr>
          <w:rFonts w:ascii="Arial" w:eastAsia="Times New Roman" w:hAnsi="Arial" w:cs="Arial"/>
          <w:sz w:val="24"/>
          <w:szCs w:val="24"/>
        </w:rPr>
        <w:t xml:space="preserve">Winkelman, M. (2014). "Psychedelics as medicines for substance abuse rehabilitation: A review of the clinical trials." </w:t>
      </w:r>
      <w:r>
        <w:rPr>
          <w:rFonts w:ascii="Arial" w:eastAsia="Times New Roman" w:hAnsi="Arial" w:cs="Arial"/>
          <w:sz w:val="24"/>
          <w:szCs w:val="24"/>
          <w:lang w:val="es-ES"/>
        </w:rPr>
        <w:t xml:space="preserve">Current </w:t>
      </w:r>
      <w:proofErr w:type="spellStart"/>
      <w:r>
        <w:rPr>
          <w:rFonts w:ascii="Arial" w:eastAsia="Times New Roman" w:hAnsi="Arial" w:cs="Arial"/>
          <w:sz w:val="24"/>
          <w:szCs w:val="24"/>
          <w:lang w:val="es-ES"/>
        </w:rPr>
        <w:t>Drug</w:t>
      </w:r>
      <w:proofErr w:type="spellEnd"/>
      <w:r>
        <w:rPr>
          <w:rFonts w:ascii="Arial" w:eastAsia="Times New Roman" w:hAnsi="Arial" w:cs="Arial"/>
          <w:sz w:val="24"/>
          <w:szCs w:val="24"/>
          <w:lang w:val="es-ES"/>
        </w:rPr>
        <w:t xml:space="preserve"> Abuse </w:t>
      </w:r>
      <w:proofErr w:type="spellStart"/>
      <w:r>
        <w:rPr>
          <w:rFonts w:ascii="Arial" w:eastAsia="Times New Roman" w:hAnsi="Arial" w:cs="Arial"/>
          <w:sz w:val="24"/>
          <w:szCs w:val="24"/>
          <w:lang w:val="es-ES"/>
        </w:rPr>
        <w:t>Reviews</w:t>
      </w:r>
      <w:proofErr w:type="spellEnd"/>
      <w:r>
        <w:rPr>
          <w:rFonts w:ascii="Arial" w:eastAsia="Times New Roman" w:hAnsi="Arial" w:cs="Arial"/>
          <w:sz w:val="24"/>
          <w:szCs w:val="24"/>
          <w:lang w:val="es-ES"/>
        </w:rPr>
        <w:t xml:space="preserve">, 7(2), 101-116. DOI: 10.2174/1874473708666150107120729. Aquí se exploran los contextos tradicionales y modernos, resaltando el valor de guías expertos en ceremonias y terapias. </w:t>
      </w:r>
    </w:p>
    <w:p w14:paraId="6CA4CBA4" w14:textId="77777777" w:rsidR="00680D9B" w:rsidRDefault="00680D9B" w:rsidP="00680D9B">
      <w:pPr>
        <w:numPr>
          <w:ilvl w:val="0"/>
          <w:numId w:val="19"/>
        </w:numPr>
        <w:spacing w:line="256" w:lineRule="auto"/>
        <w:rPr>
          <w:rFonts w:eastAsia="Times New Roman"/>
          <w:lang w:val="es-ES"/>
        </w:rPr>
      </w:pPr>
      <w:r w:rsidRPr="00680D9B">
        <w:rPr>
          <w:rFonts w:ascii="Arial" w:eastAsia="Times New Roman" w:hAnsi="Arial" w:cs="Arial"/>
          <w:sz w:val="24"/>
          <w:szCs w:val="24"/>
        </w:rPr>
        <w:t xml:space="preserve">Metzner, R. (1998). "Sacred mushroom rituals: The search for the hidden paradise." </w:t>
      </w:r>
      <w:r>
        <w:rPr>
          <w:rFonts w:ascii="Arial" w:eastAsia="Times New Roman" w:hAnsi="Arial" w:cs="Arial"/>
          <w:sz w:val="24"/>
          <w:szCs w:val="24"/>
          <w:lang w:val="es-ES"/>
        </w:rPr>
        <w:t xml:space="preserve">Aunque este es un libro y no un artículo científico, no cuenta con DOI, pero es relevante para el análisis de rituales ancestrales y la función de chamanes y curanderos en el uso ceremonial de hongos psilocibios. </w:t>
      </w:r>
    </w:p>
    <w:p w14:paraId="092544B3" w14:textId="77777777" w:rsidR="00680D9B" w:rsidRDefault="00680D9B">
      <w:pPr>
        <w:rPr>
          <w:rFonts w:ascii="Arial" w:eastAsiaTheme="minorEastAsia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Estos recursos científicos respaldan la importancia del acompañamiento profesional tanto en contextos modernos como tradicionales para garantizar experiencias seguras y enriquecedoras con psilocibina.</w:t>
      </w:r>
    </w:p>
    <w:p w14:paraId="0D64ED6E" w14:textId="77777777" w:rsidR="004E44D6" w:rsidRDefault="004E44D6">
      <w:pPr>
        <w:rPr>
          <w:rFonts w:ascii="Arial" w:hAnsi="Arial" w:cs="Arial"/>
          <w:sz w:val="24"/>
          <w:szCs w:val="24"/>
          <w:lang w:val="es-MX"/>
        </w:rPr>
      </w:pPr>
    </w:p>
    <w:p w14:paraId="20C2AD78" w14:textId="0BEE8322" w:rsidR="003448CD" w:rsidRPr="000F01F7" w:rsidRDefault="003448CD">
      <w:pPr>
        <w:rPr>
          <w:rFonts w:eastAsiaTheme="minorEastAsia"/>
          <w:lang w:val="es-MX"/>
        </w:rPr>
      </w:pPr>
    </w:p>
    <w:sectPr w:rsidR="003448CD" w:rsidRPr="000F01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4818"/>
    <w:multiLevelType w:val="multilevel"/>
    <w:tmpl w:val="E9AC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01699"/>
    <w:multiLevelType w:val="multilevel"/>
    <w:tmpl w:val="4140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47F95"/>
    <w:multiLevelType w:val="multilevel"/>
    <w:tmpl w:val="BA12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F544F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76C0762"/>
    <w:multiLevelType w:val="multilevel"/>
    <w:tmpl w:val="F022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1C0044"/>
    <w:multiLevelType w:val="multilevel"/>
    <w:tmpl w:val="B50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9D002A"/>
    <w:multiLevelType w:val="multilevel"/>
    <w:tmpl w:val="0E34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014BD8"/>
    <w:multiLevelType w:val="multilevel"/>
    <w:tmpl w:val="B77A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C625BC"/>
    <w:multiLevelType w:val="multilevel"/>
    <w:tmpl w:val="A3BE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370263"/>
    <w:multiLevelType w:val="multilevel"/>
    <w:tmpl w:val="78DE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3D3968"/>
    <w:multiLevelType w:val="multilevel"/>
    <w:tmpl w:val="14CE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45DA1"/>
    <w:multiLevelType w:val="multilevel"/>
    <w:tmpl w:val="543E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B65534"/>
    <w:multiLevelType w:val="multilevel"/>
    <w:tmpl w:val="DE1A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132B53"/>
    <w:multiLevelType w:val="multilevel"/>
    <w:tmpl w:val="8E94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EA7BDF"/>
    <w:multiLevelType w:val="multilevel"/>
    <w:tmpl w:val="DDD8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7333DB"/>
    <w:multiLevelType w:val="multilevel"/>
    <w:tmpl w:val="30C2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CC70C0"/>
    <w:multiLevelType w:val="multilevel"/>
    <w:tmpl w:val="9E12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6F4D50"/>
    <w:multiLevelType w:val="multilevel"/>
    <w:tmpl w:val="519A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FD25E1"/>
    <w:multiLevelType w:val="multilevel"/>
    <w:tmpl w:val="B4CC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782106">
    <w:abstractNumId w:val="3"/>
  </w:num>
  <w:num w:numId="2" w16cid:durableId="1627853087">
    <w:abstractNumId w:val="5"/>
  </w:num>
  <w:num w:numId="3" w16cid:durableId="1682051289">
    <w:abstractNumId w:val="6"/>
  </w:num>
  <w:num w:numId="4" w16cid:durableId="92093777">
    <w:abstractNumId w:val="4"/>
  </w:num>
  <w:num w:numId="5" w16cid:durableId="910583733">
    <w:abstractNumId w:val="13"/>
  </w:num>
  <w:num w:numId="6" w16cid:durableId="396392513">
    <w:abstractNumId w:val="9"/>
  </w:num>
  <w:num w:numId="7" w16cid:durableId="561138076">
    <w:abstractNumId w:val="7"/>
  </w:num>
  <w:num w:numId="8" w16cid:durableId="131872493">
    <w:abstractNumId w:val="8"/>
  </w:num>
  <w:num w:numId="9" w16cid:durableId="385690776">
    <w:abstractNumId w:val="16"/>
  </w:num>
  <w:num w:numId="10" w16cid:durableId="17970247">
    <w:abstractNumId w:val="0"/>
  </w:num>
  <w:num w:numId="11" w16cid:durableId="1241868510">
    <w:abstractNumId w:val="15"/>
  </w:num>
  <w:num w:numId="12" w16cid:durableId="1266841833">
    <w:abstractNumId w:val="18"/>
  </w:num>
  <w:num w:numId="13" w16cid:durableId="175309451">
    <w:abstractNumId w:val="14"/>
  </w:num>
  <w:num w:numId="14" w16cid:durableId="1865828189">
    <w:abstractNumId w:val="11"/>
  </w:num>
  <w:num w:numId="15" w16cid:durableId="1378891292">
    <w:abstractNumId w:val="12"/>
  </w:num>
  <w:num w:numId="16" w16cid:durableId="741374453">
    <w:abstractNumId w:val="17"/>
  </w:num>
  <w:num w:numId="17" w16cid:durableId="60567637">
    <w:abstractNumId w:val="10"/>
  </w:num>
  <w:num w:numId="18" w16cid:durableId="1842312839">
    <w:abstractNumId w:val="2"/>
  </w:num>
  <w:num w:numId="19" w16cid:durableId="9475408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1F3"/>
    <w:rsid w:val="000F01F7"/>
    <w:rsid w:val="003448CD"/>
    <w:rsid w:val="00470D7F"/>
    <w:rsid w:val="004806B3"/>
    <w:rsid w:val="004E3C30"/>
    <w:rsid w:val="004E44D6"/>
    <w:rsid w:val="00544ACF"/>
    <w:rsid w:val="00680D9B"/>
    <w:rsid w:val="006C31F3"/>
    <w:rsid w:val="007724B1"/>
    <w:rsid w:val="008C6AA2"/>
    <w:rsid w:val="009305E2"/>
    <w:rsid w:val="00D109BF"/>
    <w:rsid w:val="00F91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DF4D4"/>
  <w15:chartTrackingRefBased/>
  <w15:docId w15:val="{8A0FCD0E-C1E6-4BD2-8191-1EC83497C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1D90"/>
  </w:style>
  <w:style w:type="paragraph" w:styleId="Ttulo1">
    <w:name w:val="heading 1"/>
    <w:basedOn w:val="Normal"/>
    <w:next w:val="Normal"/>
    <w:link w:val="Ttulo1Car"/>
    <w:uiPriority w:val="9"/>
    <w:qFormat/>
    <w:rsid w:val="006C3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3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31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3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31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3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3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3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3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31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31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31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31F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31F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31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31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31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31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3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3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3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3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3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31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31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31F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31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31F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31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322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Estefania Aranda Rosas</dc:creator>
  <cp:keywords/>
  <dc:description/>
  <cp:lastModifiedBy>Estefania Aranda Rosas</cp:lastModifiedBy>
  <cp:revision>9</cp:revision>
  <dcterms:created xsi:type="dcterms:W3CDTF">2026-03-30T06:39:00Z</dcterms:created>
  <dcterms:modified xsi:type="dcterms:W3CDTF">2026-04-01T11:45:00Z</dcterms:modified>
</cp:coreProperties>
</file>