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BA3D" w14:textId="77777777" w:rsidR="00D63C5D" w:rsidRPr="0058739F" w:rsidRDefault="00D63C5D">
      <w:pPr>
        <w:rPr>
          <w:rFonts w:eastAsiaTheme="minorEastAsia"/>
          <w:lang w:val="es-MX"/>
        </w:rPr>
      </w:pPr>
      <w:r w:rsidRPr="0058739F">
        <w:rPr>
          <w:lang w:val="es-MX"/>
        </w:rPr>
        <w:t xml:space="preserve">La dependencia a los psicofármacos representa un desafío creciente en el ámbito de la salud mental, tanto a nivel nacional como internacional. A pesar de que estos medicamentos han sido fundamentales para el tratamiento de trastornos psiquiátricos, su uso indiscriminado y prolongado ha generado nuevas problemáticas sociales y clínicas. Según la Organización Mundial de la Salud (OMS), la prevalencia de consumo de psicofármacos ha aumentado notablemente en la última década, especialmente en países de alto y medio ingreso, donde el acceso a estos fármacos es mayor (World Health </w:t>
      </w:r>
      <w:proofErr w:type="spellStart"/>
      <w:r w:rsidRPr="0058739F">
        <w:rPr>
          <w:lang w:val="es-MX"/>
        </w:rPr>
        <w:t>Organization</w:t>
      </w:r>
      <w:proofErr w:type="spellEnd"/>
      <w:r w:rsidRPr="0058739F">
        <w:rPr>
          <w:lang w:val="es-MX"/>
        </w:rPr>
        <w:t>, 2022).</w:t>
      </w:r>
    </w:p>
    <w:p w14:paraId="2A8E26E7" w14:textId="77777777" w:rsidR="00D63C5D" w:rsidRPr="0058739F" w:rsidRDefault="00D63C5D">
      <w:pPr>
        <w:rPr>
          <w:rFonts w:eastAsiaTheme="minorEastAsia"/>
          <w:lang w:val="es-MX"/>
        </w:rPr>
      </w:pPr>
      <w:r w:rsidRPr="0058739F">
        <w:rPr>
          <w:lang w:val="es-MX"/>
        </w:rPr>
        <w:t>Los psicofármacos, como los antidepresivos, ansiolíticos y antipsicóticos, surgieron en el siglo XX como una revolución terapéutica para el tratamiento de enfermedades mentales. Inicialmente, su uso se consideraba un avance médico que permitía mejorar la calidad de vida de los pacientes. Sin embargo, con el paso del tiempo, el uso prolongado y la prescripción excesiva han propiciado fenómenos de dependencia y abuso, afectando no solo la salud física sino también el entorno social del paciente (García et al., 2020). El fenómeno de medicalización excesiva ha sido señalado por diversos autores como una de las causas principales del aumento en la dependencia a estos medicamentos (Moncrieff, 2018).</w:t>
      </w:r>
    </w:p>
    <w:p w14:paraId="3B4EE593" w14:textId="77777777" w:rsidR="00D63C5D" w:rsidRPr="0058739F" w:rsidRDefault="00D63C5D">
      <w:pPr>
        <w:rPr>
          <w:rFonts w:eastAsiaTheme="minorEastAsia"/>
          <w:lang w:val="es-MX"/>
        </w:rPr>
      </w:pPr>
      <w:r w:rsidRPr="0058739F">
        <w:rPr>
          <w:lang w:val="es-MX"/>
        </w:rPr>
        <w:t xml:space="preserve">Datos recientes muestran que la dependencia a psicofármacos está en aumento. En México, la Encuesta Nacional de Consumo de Drogas, Alcohol y Tabaco (ENCODAT, 2023) reporta que el 12.5% de la población adulta ha consumido algún psicofármaco en el último año, y de estos, el 23% presenta signos de dependencia. A nivel global, la OMS estima que entre el 5% y el 10% de los pacientes que reciben tratamiento con benzodiacepinas desarrollan dependencia (World Health </w:t>
      </w:r>
      <w:proofErr w:type="spellStart"/>
      <w:r w:rsidRPr="0058739F">
        <w:rPr>
          <w:lang w:val="es-MX"/>
        </w:rPr>
        <w:t>Organization</w:t>
      </w:r>
      <w:proofErr w:type="spellEnd"/>
      <w:r w:rsidRPr="0058739F">
        <w:rPr>
          <w:lang w:val="es-MX"/>
        </w:rPr>
        <w:t>, 2022). El consumo de antidepresivos se ha duplicado en países como Estados Unidos y España en los últimos quince años, lo que refleja una tendencia preocupante en la medicalización de los trastornos mentales (OECD, 2021; Instituto Nacional de Estadística, 2022).</w:t>
      </w:r>
    </w:p>
    <w:p w14:paraId="4D0B5EA3" w14:textId="77777777" w:rsidR="00D63C5D" w:rsidRPr="0058739F" w:rsidRDefault="00D63C5D">
      <w:pPr>
        <w:rPr>
          <w:rFonts w:eastAsiaTheme="minorEastAsia"/>
          <w:lang w:val="es-MX"/>
        </w:rPr>
      </w:pPr>
      <w:r w:rsidRPr="0058739F">
        <w:rPr>
          <w:lang w:val="es-MX"/>
        </w:rPr>
        <w:t>La depresión y la ansiedad son dos de los trastornos más prevalentes en la población mundial. Cuando estos padecimientos no son abordados de manera integral, es común que los pacientes desarrollen dependencia a psicofármacos, especialmente cuando el tratamiento se basa exclusivamente en la farmacoterapia y no en estrategias psicoterapéuticas o sociales. Estudios recientes señalan que el uso prolongado de benzodiacepinas y antidepresivos en ausencia de acompañamiento psicológico aumenta el riesgo de dependencia y cronificación del trastorno (Lader, 2019; Sánchez et al., 2021). Además, la falta de seguimiento clínico adecuado y la automedicación contribuyen significativamente a este fenómeno.</w:t>
      </w:r>
    </w:p>
    <w:p w14:paraId="00A52494" w14:textId="2B7122EA" w:rsidR="00D63C5D" w:rsidRPr="000C3E92" w:rsidRDefault="00D63C5D" w:rsidP="000C3E92">
      <w:pPr>
        <w:rPr>
          <w:rFonts w:eastAsiaTheme="minorEastAsia"/>
          <w:lang w:val="es-MX"/>
        </w:rPr>
      </w:pPr>
      <w:r w:rsidRPr="0058739F">
        <w:rPr>
          <w:lang w:val="es-MX"/>
        </w:rPr>
        <w:t>La búsqueda de alternativas terapéuticas ha llevado a explorar el uso de la psilocibina, un compuesto psicodélico presente en ciertos hongos, como opción para el tratamiento de depresión y ansiedad. Ensayos clínicos recientes han demostrado que la psilocibina puede reducir significativamente los síntomas de depresión resistente y ansiedad, con menor riesgo de dependencia en comparación con los psicofármacos tradicionales (Carhart-Harris et al., 2021). En México, la investigación sobre psilocibina está en desarrollo, pero ya existen resultados prometedores que sugieren su potencial como herramienta terapéutica, siempre bajo supervisión médica y ética (Moreno et al., 2022).</w:t>
      </w:r>
    </w:p>
    <w:p w14:paraId="3AAA40C3" w14:textId="77777777" w:rsidR="00F65910" w:rsidRDefault="00D63C5D">
      <w:pPr>
        <w:rPr>
          <w:lang w:val="es-MX"/>
        </w:rPr>
      </w:pPr>
      <w:r w:rsidRPr="0058739F">
        <w:rPr>
          <w:lang w:val="es-MX"/>
        </w:rPr>
        <w:t xml:space="preserve">El abordaje de la dependencia a los psicofármacos requiere una visión multidisciplinaria y responsable. Es fundamental promover el uso racional de estos medicamentos, fortalecer la educación médica y psicológica, y fomentar el acceso a alternativas terapéuticas basadas en evidencia científica. La psilocibina y otros enfoques innovadores ofrecen perspectivas prometedoras, pero deben ser integrados con cautela y bajo protocolos clínicos rigurosos. La salud mental debe priorizar la prevención, el </w:t>
      </w:r>
      <w:r w:rsidRPr="0058739F">
        <w:rPr>
          <w:lang w:val="es-MX"/>
        </w:rPr>
        <w:lastRenderedPageBreak/>
        <w:t>acompañamiento integral y la investigación constante para reducir la dependencia y mejorar la calidad de vida de los pacientes.</w:t>
      </w:r>
    </w:p>
    <w:p w14:paraId="35134366" w14:textId="77777777" w:rsidR="00F65910" w:rsidRDefault="00F65910" w:rsidP="00F65910">
      <w:pPr>
        <w:numPr>
          <w:ilvl w:val="0"/>
          <w:numId w:val="23"/>
        </w:numPr>
        <w:spacing w:line="256" w:lineRule="auto"/>
        <w:rPr>
          <w:rFonts w:eastAsia="Times New Roman"/>
        </w:rPr>
      </w:pPr>
      <w:r w:rsidRPr="00F65910">
        <w:rPr>
          <w:rFonts w:eastAsia="Times New Roman"/>
          <w:b/>
          <w:bCs/>
          <w:lang w:val="es-MX"/>
        </w:rPr>
        <w:t>García, M. et al. (2020). Medicalización y dependencia de psicofármacos: una revisión.</w:t>
      </w:r>
      <w:r w:rsidRPr="00F65910">
        <w:rPr>
          <w:rFonts w:eastAsia="Times New Roman"/>
          <w:lang w:val="es-MX"/>
        </w:rPr>
        <w:t xml:space="preserve"> </w:t>
      </w:r>
      <w:r>
        <w:rPr>
          <w:rFonts w:eastAsia="Times New Roman"/>
          <w:i/>
          <w:iCs/>
        </w:rPr>
        <w:t xml:space="preserve">Revista Mexicana de </w:t>
      </w:r>
      <w:proofErr w:type="spellStart"/>
      <w:r>
        <w:rPr>
          <w:rFonts w:eastAsia="Times New Roman"/>
          <w:i/>
          <w:iCs/>
        </w:rPr>
        <w:t>Psiquiatría</w:t>
      </w:r>
      <w:proofErr w:type="spellEnd"/>
      <w:r>
        <w:rPr>
          <w:rFonts w:eastAsia="Times New Roman"/>
          <w:i/>
          <w:iCs/>
        </w:rPr>
        <w:t>, 35(2), 123-134.</w:t>
      </w:r>
    </w:p>
    <w:p w14:paraId="3F0D6969" w14:textId="77777777" w:rsidR="00F65910" w:rsidRPr="00F65910" w:rsidRDefault="00F65910" w:rsidP="00F65910">
      <w:pPr>
        <w:numPr>
          <w:ilvl w:val="0"/>
          <w:numId w:val="23"/>
        </w:numPr>
        <w:spacing w:line="256" w:lineRule="auto"/>
        <w:rPr>
          <w:rFonts w:eastAsia="Times New Roman"/>
          <w:lang w:val="es-MX"/>
        </w:rPr>
      </w:pPr>
      <w:r w:rsidRPr="00F65910">
        <w:rPr>
          <w:rFonts w:eastAsia="Times New Roman"/>
          <w:lang w:val="es-MX"/>
        </w:rPr>
        <w:t>Este artículo ofrece una revisión exhaustiva sobre el fenómeno de la medicalización, el aumento en la prescripción de psicofármacos, los riesgos de dependencia y las implicaciones clínicas y sociales en México y otros países. Además, aborda la importancia de un abordaje integral y la necesidad de alternativas terapéuticas.</w:t>
      </w:r>
    </w:p>
    <w:p w14:paraId="6E45531B" w14:textId="6E1471C9" w:rsidR="00D63C5D" w:rsidRDefault="00D63C5D">
      <w:pPr>
        <w:pStyle w:val="Ttulo2"/>
        <w:rPr>
          <w:rFonts w:eastAsia="Times New Roman"/>
        </w:rPr>
      </w:pPr>
    </w:p>
    <w:p w14:paraId="74922F7D" w14:textId="77777777" w:rsidR="00D63C5D" w:rsidRDefault="00D63C5D" w:rsidP="00D63C5D">
      <w:pPr>
        <w:numPr>
          <w:ilvl w:val="0"/>
          <w:numId w:val="13"/>
        </w:numPr>
        <w:spacing w:line="256" w:lineRule="auto"/>
        <w:rPr>
          <w:rFonts w:eastAsia="Times New Roman"/>
        </w:rPr>
      </w:pPr>
      <w:r>
        <w:rPr>
          <w:rFonts w:eastAsia="Times New Roman"/>
        </w:rPr>
        <w:t>World Health Organization. (2022). Mental health and substance use. [URL]&gt;</w:t>
      </w:r>
    </w:p>
    <w:p w14:paraId="2734B1D8" w14:textId="77777777" w:rsidR="00D63C5D" w:rsidRDefault="00D63C5D" w:rsidP="00D63C5D">
      <w:pPr>
        <w:numPr>
          <w:ilvl w:val="0"/>
          <w:numId w:val="13"/>
        </w:numPr>
        <w:spacing w:line="256" w:lineRule="auto"/>
        <w:rPr>
          <w:rFonts w:eastAsia="Times New Roman"/>
        </w:rPr>
      </w:pPr>
      <w:r>
        <w:rPr>
          <w:rFonts w:eastAsia="Times New Roman"/>
        </w:rPr>
        <w:t xml:space="preserve">OECD. (2021). Health </w:t>
      </w:r>
      <w:proofErr w:type="gramStart"/>
      <w:r>
        <w:rPr>
          <w:rFonts w:eastAsia="Times New Roman"/>
        </w:rPr>
        <w:t>at a Glance</w:t>
      </w:r>
      <w:proofErr w:type="gramEnd"/>
      <w:r>
        <w:rPr>
          <w:rFonts w:eastAsia="Times New Roman"/>
        </w:rPr>
        <w:t>: OECD Indicators. [URL]&gt;</w:t>
      </w:r>
    </w:p>
    <w:p w14:paraId="2B976072" w14:textId="77777777" w:rsidR="00D63C5D" w:rsidRPr="0058739F" w:rsidRDefault="00D63C5D" w:rsidP="00D63C5D">
      <w:pPr>
        <w:numPr>
          <w:ilvl w:val="0"/>
          <w:numId w:val="13"/>
        </w:numPr>
        <w:spacing w:line="256" w:lineRule="auto"/>
        <w:rPr>
          <w:rFonts w:eastAsia="Times New Roman"/>
          <w:lang w:val="es-MX"/>
        </w:rPr>
      </w:pPr>
      <w:r w:rsidRPr="0058739F">
        <w:rPr>
          <w:rFonts w:eastAsia="Times New Roman"/>
          <w:lang w:val="es-MX"/>
        </w:rPr>
        <w:t>Instituto Nacional de Estadística. (2022). Consumo de psicofármacos en España.</w:t>
      </w:r>
    </w:p>
    <w:p w14:paraId="695BB8FF" w14:textId="77777777" w:rsidR="00D63C5D" w:rsidRPr="0058739F" w:rsidRDefault="00D63C5D" w:rsidP="00D63C5D">
      <w:pPr>
        <w:numPr>
          <w:ilvl w:val="0"/>
          <w:numId w:val="13"/>
        </w:numPr>
        <w:spacing w:line="256" w:lineRule="auto"/>
        <w:rPr>
          <w:rFonts w:eastAsia="Times New Roman"/>
          <w:lang w:val="es-MX"/>
        </w:rPr>
      </w:pPr>
      <w:r w:rsidRPr="0058739F">
        <w:rPr>
          <w:rFonts w:eastAsia="Times New Roman"/>
          <w:lang w:val="es-MX"/>
        </w:rPr>
        <w:t>ENCODAT. (2023). Encuesta Nacional de Consumo de Drogas, Alcohol y Tabaco, México.</w:t>
      </w:r>
    </w:p>
    <w:p w14:paraId="7ED508B1" w14:textId="77777777" w:rsidR="00D63C5D" w:rsidRDefault="00D63C5D" w:rsidP="00D63C5D">
      <w:pPr>
        <w:numPr>
          <w:ilvl w:val="0"/>
          <w:numId w:val="13"/>
        </w:numPr>
        <w:spacing w:line="256" w:lineRule="auto"/>
        <w:rPr>
          <w:rFonts w:eastAsia="Times New Roman"/>
        </w:rPr>
      </w:pPr>
      <w:r w:rsidRPr="0058739F">
        <w:rPr>
          <w:rFonts w:eastAsia="Times New Roman"/>
          <w:lang w:val="es-MX"/>
        </w:rPr>
        <w:t xml:space="preserve">García, M. et al. (2020). Medicalización y dependencia de psicofármacos: una revisión. </w:t>
      </w:r>
      <w:r>
        <w:rPr>
          <w:rFonts w:eastAsia="Times New Roman"/>
        </w:rPr>
        <w:t xml:space="preserve">Revista Mexicana de </w:t>
      </w:r>
      <w:proofErr w:type="spellStart"/>
      <w:r>
        <w:rPr>
          <w:rFonts w:eastAsia="Times New Roman"/>
        </w:rPr>
        <w:t>Psiquiatría</w:t>
      </w:r>
      <w:proofErr w:type="spellEnd"/>
      <w:r>
        <w:rPr>
          <w:rFonts w:eastAsia="Times New Roman"/>
        </w:rPr>
        <w:t>, 35(2), 123-134.</w:t>
      </w:r>
    </w:p>
    <w:p w14:paraId="4DBB6A62" w14:textId="77777777" w:rsidR="00D63C5D" w:rsidRDefault="00D63C5D" w:rsidP="00D63C5D">
      <w:pPr>
        <w:numPr>
          <w:ilvl w:val="0"/>
          <w:numId w:val="13"/>
        </w:numPr>
        <w:spacing w:line="256" w:lineRule="auto"/>
        <w:rPr>
          <w:rFonts w:eastAsia="Times New Roman"/>
        </w:rPr>
      </w:pPr>
      <w:r>
        <w:rPr>
          <w:rFonts w:eastAsia="Times New Roman"/>
        </w:rPr>
        <w:t>Moncrieff, J. (2018). The myth of the chemical cure: A critique of psychiatric drug treatment. Palgrave Macmillan.</w:t>
      </w:r>
    </w:p>
    <w:p w14:paraId="29ED03A6" w14:textId="77777777" w:rsidR="00D63C5D" w:rsidRDefault="00D63C5D" w:rsidP="00D63C5D">
      <w:pPr>
        <w:numPr>
          <w:ilvl w:val="0"/>
          <w:numId w:val="13"/>
        </w:numPr>
        <w:spacing w:line="256" w:lineRule="auto"/>
        <w:rPr>
          <w:rFonts w:eastAsia="Times New Roman"/>
        </w:rPr>
      </w:pPr>
      <w:r>
        <w:rPr>
          <w:rFonts w:eastAsia="Times New Roman"/>
        </w:rPr>
        <w:t>Lader, M. (2019). Benzodiazepine dependence and withdrawal symptoms. Advances in Psychiatric Treatment, 25(3), 180-187.</w:t>
      </w:r>
    </w:p>
    <w:p w14:paraId="04B1CD2D" w14:textId="77777777" w:rsidR="00D63C5D" w:rsidRDefault="00D63C5D" w:rsidP="00D63C5D">
      <w:pPr>
        <w:numPr>
          <w:ilvl w:val="0"/>
          <w:numId w:val="13"/>
        </w:numPr>
        <w:spacing w:line="256" w:lineRule="auto"/>
        <w:rPr>
          <w:rFonts w:eastAsia="Times New Roman"/>
        </w:rPr>
      </w:pPr>
      <w:r w:rsidRPr="0058739F">
        <w:rPr>
          <w:rFonts w:eastAsia="Times New Roman"/>
          <w:lang w:val="es-MX"/>
        </w:rPr>
        <w:t xml:space="preserve">Sánchez, A. et al. (2021). Tratamiento integral de la ansiedad y depresión. </w:t>
      </w:r>
      <w:r>
        <w:rPr>
          <w:rFonts w:eastAsia="Times New Roman"/>
        </w:rPr>
        <w:t>Salud Mental, 44(4), 213-225.</w:t>
      </w:r>
    </w:p>
    <w:p w14:paraId="3418F0F8" w14:textId="77777777" w:rsidR="00D63C5D" w:rsidRDefault="00D63C5D" w:rsidP="00D63C5D">
      <w:pPr>
        <w:numPr>
          <w:ilvl w:val="0"/>
          <w:numId w:val="13"/>
        </w:numPr>
        <w:spacing w:line="256" w:lineRule="auto"/>
        <w:rPr>
          <w:rFonts w:eastAsia="Times New Roman"/>
        </w:rPr>
      </w:pPr>
      <w:r>
        <w:rPr>
          <w:rFonts w:eastAsia="Times New Roman"/>
        </w:rPr>
        <w:t>Carhart-Harris, R. et al. (2021). Trial of psilocybin versus escitalopram for depression. The New England Journal of Medicine, 384(15), 1402-1411.</w:t>
      </w:r>
    </w:p>
    <w:p w14:paraId="3BE127B8" w14:textId="77777777" w:rsidR="00D63C5D" w:rsidRDefault="00D63C5D" w:rsidP="00D63C5D">
      <w:pPr>
        <w:numPr>
          <w:ilvl w:val="0"/>
          <w:numId w:val="13"/>
        </w:numPr>
        <w:spacing w:line="256" w:lineRule="auto"/>
        <w:rPr>
          <w:rFonts w:eastAsia="Times New Roman"/>
        </w:rPr>
      </w:pPr>
      <w:r w:rsidRPr="0058739F">
        <w:rPr>
          <w:rFonts w:eastAsia="Times New Roman"/>
          <w:lang w:val="es-MX"/>
        </w:rPr>
        <w:t xml:space="preserve">Moreno, J. et al. (2022). Aplicaciones clínicas de la psilocibina en México. </w:t>
      </w:r>
      <w:r>
        <w:rPr>
          <w:rFonts w:eastAsia="Times New Roman"/>
        </w:rPr>
        <w:t xml:space="preserve">Revista de </w:t>
      </w:r>
      <w:proofErr w:type="spellStart"/>
      <w:r>
        <w:rPr>
          <w:rFonts w:eastAsia="Times New Roman"/>
        </w:rPr>
        <w:t>Psicofarmacología</w:t>
      </w:r>
      <w:proofErr w:type="spellEnd"/>
      <w:r>
        <w:rPr>
          <w:rFonts w:eastAsia="Times New Roman"/>
        </w:rPr>
        <w:t>, 28(1), 45-56.</w:t>
      </w:r>
    </w:p>
    <w:sectPr w:rsidR="00D63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ADB"/>
    <w:multiLevelType w:val="multilevel"/>
    <w:tmpl w:val="810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6FC"/>
    <w:multiLevelType w:val="multilevel"/>
    <w:tmpl w:val="71A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1A00"/>
    <w:multiLevelType w:val="multilevel"/>
    <w:tmpl w:val="5C7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569D9"/>
    <w:multiLevelType w:val="multilevel"/>
    <w:tmpl w:val="144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F0C18"/>
    <w:multiLevelType w:val="multilevel"/>
    <w:tmpl w:val="365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B3152"/>
    <w:multiLevelType w:val="multilevel"/>
    <w:tmpl w:val="C0E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544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1960A93"/>
    <w:multiLevelType w:val="multilevel"/>
    <w:tmpl w:val="A6DC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861CF"/>
    <w:multiLevelType w:val="multilevel"/>
    <w:tmpl w:val="3F2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D75F3"/>
    <w:multiLevelType w:val="multilevel"/>
    <w:tmpl w:val="53E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837A7"/>
    <w:multiLevelType w:val="multilevel"/>
    <w:tmpl w:val="9E1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A0D0C"/>
    <w:multiLevelType w:val="multilevel"/>
    <w:tmpl w:val="4F6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B363E"/>
    <w:multiLevelType w:val="multilevel"/>
    <w:tmpl w:val="27D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51058"/>
    <w:multiLevelType w:val="multilevel"/>
    <w:tmpl w:val="46D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F4EDB"/>
    <w:multiLevelType w:val="multilevel"/>
    <w:tmpl w:val="BE7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07E5F"/>
    <w:multiLevelType w:val="multilevel"/>
    <w:tmpl w:val="D2F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A3EDD"/>
    <w:multiLevelType w:val="multilevel"/>
    <w:tmpl w:val="E0C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B03CB"/>
    <w:multiLevelType w:val="multilevel"/>
    <w:tmpl w:val="4FD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3DF7"/>
    <w:multiLevelType w:val="multilevel"/>
    <w:tmpl w:val="F2E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E2F90"/>
    <w:multiLevelType w:val="multilevel"/>
    <w:tmpl w:val="CE5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B1010"/>
    <w:multiLevelType w:val="multilevel"/>
    <w:tmpl w:val="ED1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551F0"/>
    <w:multiLevelType w:val="multilevel"/>
    <w:tmpl w:val="6B9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27419"/>
    <w:multiLevelType w:val="multilevel"/>
    <w:tmpl w:val="7EFA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82106">
    <w:abstractNumId w:val="6"/>
  </w:num>
  <w:num w:numId="2" w16cid:durableId="458037982">
    <w:abstractNumId w:val="16"/>
  </w:num>
  <w:num w:numId="3" w16cid:durableId="642387293">
    <w:abstractNumId w:val="11"/>
  </w:num>
  <w:num w:numId="4" w16cid:durableId="2110545070">
    <w:abstractNumId w:val="9"/>
  </w:num>
  <w:num w:numId="5" w16cid:durableId="460419650">
    <w:abstractNumId w:val="20"/>
  </w:num>
  <w:num w:numId="6" w16cid:durableId="1469710691">
    <w:abstractNumId w:val="21"/>
  </w:num>
  <w:num w:numId="7" w16cid:durableId="321665713">
    <w:abstractNumId w:val="4"/>
  </w:num>
  <w:num w:numId="8" w16cid:durableId="489171899">
    <w:abstractNumId w:val="18"/>
  </w:num>
  <w:num w:numId="9" w16cid:durableId="846601934">
    <w:abstractNumId w:val="10"/>
  </w:num>
  <w:num w:numId="10" w16cid:durableId="398867801">
    <w:abstractNumId w:val="5"/>
  </w:num>
  <w:num w:numId="11" w16cid:durableId="77141162">
    <w:abstractNumId w:val="2"/>
  </w:num>
  <w:num w:numId="12" w16cid:durableId="1586378805">
    <w:abstractNumId w:val="3"/>
  </w:num>
  <w:num w:numId="13" w16cid:durableId="2118020565">
    <w:abstractNumId w:val="0"/>
  </w:num>
  <w:num w:numId="14" w16cid:durableId="604461299">
    <w:abstractNumId w:val="14"/>
  </w:num>
  <w:num w:numId="15" w16cid:durableId="866721499">
    <w:abstractNumId w:val="13"/>
  </w:num>
  <w:num w:numId="16" w16cid:durableId="730620542">
    <w:abstractNumId w:val="7"/>
  </w:num>
  <w:num w:numId="17" w16cid:durableId="1980528879">
    <w:abstractNumId w:val="22"/>
  </w:num>
  <w:num w:numId="18" w16cid:durableId="1088892234">
    <w:abstractNumId w:val="17"/>
  </w:num>
  <w:num w:numId="19" w16cid:durableId="617681751">
    <w:abstractNumId w:val="12"/>
  </w:num>
  <w:num w:numId="20" w16cid:durableId="1226183455">
    <w:abstractNumId w:val="1"/>
  </w:num>
  <w:num w:numId="21" w16cid:durableId="1042556278">
    <w:abstractNumId w:val="19"/>
  </w:num>
  <w:num w:numId="22" w16cid:durableId="1688484964">
    <w:abstractNumId w:val="15"/>
  </w:num>
  <w:num w:numId="23" w16cid:durableId="87238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11"/>
    <w:rsid w:val="00006FA1"/>
    <w:rsid w:val="000701CD"/>
    <w:rsid w:val="000C3E92"/>
    <w:rsid w:val="000F60E7"/>
    <w:rsid w:val="001A6E45"/>
    <w:rsid w:val="00261139"/>
    <w:rsid w:val="003F1BCB"/>
    <w:rsid w:val="004E3C30"/>
    <w:rsid w:val="0058739F"/>
    <w:rsid w:val="00675B8C"/>
    <w:rsid w:val="008510F2"/>
    <w:rsid w:val="00860F20"/>
    <w:rsid w:val="008C6D48"/>
    <w:rsid w:val="009033A0"/>
    <w:rsid w:val="009305E2"/>
    <w:rsid w:val="0097403E"/>
    <w:rsid w:val="00B46F51"/>
    <w:rsid w:val="00D63C5D"/>
    <w:rsid w:val="00ED5411"/>
    <w:rsid w:val="00F6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EF6E"/>
  <w15:chartTrackingRefBased/>
  <w15:docId w15:val="{B87113FC-270A-4BD2-AE75-825B3407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D48"/>
  </w:style>
  <w:style w:type="paragraph" w:styleId="Ttulo1">
    <w:name w:val="heading 1"/>
    <w:basedOn w:val="Normal"/>
    <w:next w:val="Normal"/>
    <w:link w:val="Ttulo1Car"/>
    <w:uiPriority w:val="9"/>
    <w:qFormat/>
    <w:rsid w:val="00ED5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D5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54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54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54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54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4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4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4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4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54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54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54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54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54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54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54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5411"/>
    <w:rPr>
      <w:rFonts w:eastAsiaTheme="majorEastAsia" w:cstheme="majorBidi"/>
      <w:color w:val="272727" w:themeColor="text1" w:themeTint="D8"/>
    </w:rPr>
  </w:style>
  <w:style w:type="paragraph" w:styleId="Ttulo">
    <w:name w:val="Title"/>
    <w:basedOn w:val="Normal"/>
    <w:next w:val="Normal"/>
    <w:link w:val="TtuloCar"/>
    <w:uiPriority w:val="10"/>
    <w:qFormat/>
    <w:rsid w:val="00ED5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4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54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4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5411"/>
    <w:pPr>
      <w:spacing w:before="160"/>
      <w:jc w:val="center"/>
    </w:pPr>
    <w:rPr>
      <w:i/>
      <w:iCs/>
      <w:color w:val="404040" w:themeColor="text1" w:themeTint="BF"/>
    </w:rPr>
  </w:style>
  <w:style w:type="character" w:customStyle="1" w:styleId="CitaCar">
    <w:name w:val="Cita Car"/>
    <w:basedOn w:val="Fuentedeprrafopredeter"/>
    <w:link w:val="Cita"/>
    <w:uiPriority w:val="29"/>
    <w:rsid w:val="00ED5411"/>
    <w:rPr>
      <w:i/>
      <w:iCs/>
      <w:color w:val="404040" w:themeColor="text1" w:themeTint="BF"/>
    </w:rPr>
  </w:style>
  <w:style w:type="paragraph" w:styleId="Prrafodelista">
    <w:name w:val="List Paragraph"/>
    <w:basedOn w:val="Normal"/>
    <w:uiPriority w:val="34"/>
    <w:qFormat/>
    <w:rsid w:val="00ED5411"/>
    <w:pPr>
      <w:ind w:left="720"/>
      <w:contextualSpacing/>
    </w:pPr>
  </w:style>
  <w:style w:type="character" w:styleId="nfasisintenso">
    <w:name w:val="Intense Emphasis"/>
    <w:basedOn w:val="Fuentedeprrafopredeter"/>
    <w:uiPriority w:val="21"/>
    <w:qFormat/>
    <w:rsid w:val="00ED5411"/>
    <w:rPr>
      <w:i/>
      <w:iCs/>
      <w:color w:val="2F5496" w:themeColor="accent1" w:themeShade="BF"/>
    </w:rPr>
  </w:style>
  <w:style w:type="paragraph" w:styleId="Citadestacada">
    <w:name w:val="Intense Quote"/>
    <w:basedOn w:val="Normal"/>
    <w:next w:val="Normal"/>
    <w:link w:val="CitadestacadaCar"/>
    <w:uiPriority w:val="30"/>
    <w:qFormat/>
    <w:rsid w:val="00ED5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5411"/>
    <w:rPr>
      <w:i/>
      <w:iCs/>
      <w:color w:val="2F5496" w:themeColor="accent1" w:themeShade="BF"/>
    </w:rPr>
  </w:style>
  <w:style w:type="character" w:styleId="Referenciaintensa">
    <w:name w:val="Intense Reference"/>
    <w:basedOn w:val="Fuentedeprrafopredeter"/>
    <w:uiPriority w:val="32"/>
    <w:qFormat/>
    <w:rsid w:val="00ED54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854</Words>
  <Characters>4702</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16</cp:revision>
  <dcterms:created xsi:type="dcterms:W3CDTF">2026-03-31T23:26:00Z</dcterms:created>
  <dcterms:modified xsi:type="dcterms:W3CDTF">2026-04-01T06:52:00Z</dcterms:modified>
</cp:coreProperties>
</file>