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BBA3" w14:textId="77777777" w:rsidR="00A85AC4" w:rsidRDefault="00A85AC4" w:rsidP="00A85AC4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07D8B225" w14:textId="77777777" w:rsidR="00A85AC4" w:rsidRPr="0063772C" w:rsidRDefault="00A85AC4" w:rsidP="00A85AC4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893"/>
        <w:gridCol w:w="3695"/>
      </w:tblGrid>
      <w:tr w:rsidR="00E732D7" w14:paraId="4CAEE6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4A07D" w14:textId="77777777" w:rsidR="00E732D7" w:rsidRDefault="00E732D7">
            <w:pPr>
              <w:jc w:val="center"/>
              <w:rPr>
                <w:b/>
                <w:bCs/>
                <w:kern w:val="0"/>
                <w:lang w:val="es-ES"/>
                <w14:ligatures w14:val="none"/>
              </w:rPr>
            </w:pPr>
            <w:r>
              <w:rPr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DA5D0" w14:textId="77777777" w:rsidR="00E732D7" w:rsidRDefault="00E732D7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Tratamientos farmacológicos frecuentes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F0491" w14:textId="77777777" w:rsidR="00E732D7" w:rsidRDefault="00E732D7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Tratamiento con psilocibina</w:t>
            </w:r>
          </w:p>
        </w:tc>
      </w:tr>
      <w:tr w:rsidR="00E732D7" w:rsidRPr="001E1DDD" w14:paraId="262DFB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33C14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>Modelo farmacodinámico y farmacocinético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4B9EE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Incluye antidepresivos, ansiolíticos y antipsicóticos que actúan sobre neurotransmisores como la serotonina, dopamina y noradrenalina. La farmacocinética varía según el fármaco, pero suelen requerir administración </w:t>
            </w:r>
            <w:proofErr w:type="spellStart"/>
            <w:proofErr w:type="gramStart"/>
            <w:r>
              <w:rPr>
                <w:lang w:val="es-ES"/>
              </w:rPr>
              <w:t>diaria.</w:t>
            </w:r>
            <w:r>
              <w:rPr>
                <w:i/>
                <w:iCs/>
                <w:lang w:val="es-ES"/>
              </w:rPr>
              <w:t>Referencias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Stahl, 2013; Rang et al., 2012.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DEA9A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La psilocibina actúa principalmente como agonista de los receptores de serotonina (5-HT2A). Su efecto es rápido, pero la administración suele ser puntual y bajo supervisión </w:t>
            </w:r>
            <w:proofErr w:type="spellStart"/>
            <w:proofErr w:type="gramStart"/>
            <w:r>
              <w:rPr>
                <w:lang w:val="es-ES"/>
              </w:rPr>
              <w:t>médica.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Carhart-Harris et al., 2016; Johnson et al., 2019.</w:t>
            </w:r>
          </w:p>
        </w:tc>
      </w:tr>
      <w:tr w:rsidR="00E732D7" w:rsidRPr="001E1DDD" w14:paraId="17802D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AEF55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>Modelo de eficacia clínica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C714A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La eficacia está bien documentada para trastornos como depresión, ansiedad y esquizofrenia. Sin embargo, algunos pacientes no responden o presentan efectos </w:t>
            </w:r>
            <w:proofErr w:type="spellStart"/>
            <w:proofErr w:type="gramStart"/>
            <w:r>
              <w:rPr>
                <w:lang w:val="es-ES"/>
              </w:rPr>
              <w:t>secundarios.</w:t>
            </w:r>
            <w:r>
              <w:rPr>
                <w:i/>
                <w:iCs/>
                <w:lang w:val="es-ES"/>
              </w:rPr>
              <w:t>Referencias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 xml:space="preserve">: Cipriani et al., 2018; GBD 2015 </w:t>
            </w:r>
            <w:proofErr w:type="spellStart"/>
            <w:r>
              <w:rPr>
                <w:i/>
                <w:iCs/>
                <w:lang w:val="es-ES"/>
              </w:rPr>
              <w:t>Disease</w:t>
            </w:r>
            <w:proofErr w:type="spellEnd"/>
            <w:r>
              <w:rPr>
                <w:i/>
                <w:iCs/>
                <w:lang w:val="es-ES"/>
              </w:rPr>
              <w:t xml:space="preserve"> and </w:t>
            </w:r>
            <w:proofErr w:type="spellStart"/>
            <w:r>
              <w:rPr>
                <w:i/>
                <w:iCs/>
                <w:lang w:val="es-ES"/>
              </w:rPr>
              <w:t>Injury</w:t>
            </w:r>
            <w:proofErr w:type="spellEnd"/>
            <w:r>
              <w:rPr>
                <w:i/>
                <w:iCs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lang w:val="es-ES"/>
              </w:rPr>
              <w:t>Incidence</w:t>
            </w:r>
            <w:proofErr w:type="spellEnd"/>
            <w:r>
              <w:rPr>
                <w:i/>
                <w:iCs/>
                <w:lang w:val="es-ES"/>
              </w:rPr>
              <w:t xml:space="preserve"> and </w:t>
            </w:r>
            <w:proofErr w:type="spellStart"/>
            <w:r>
              <w:rPr>
                <w:i/>
                <w:iCs/>
                <w:lang w:val="es-ES"/>
              </w:rPr>
              <w:t>Prevalence</w:t>
            </w:r>
            <w:proofErr w:type="spellEnd"/>
            <w:r>
              <w:rPr>
                <w:i/>
                <w:iCs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lang w:val="es-ES"/>
              </w:rPr>
              <w:t>Collaborators</w:t>
            </w:r>
            <w:proofErr w:type="spellEnd"/>
            <w:r>
              <w:rPr>
                <w:i/>
                <w:iCs/>
                <w:lang w:val="es-ES"/>
              </w:rPr>
              <w:t>, 2016.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2DC73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Estudios recientes muestran eficacia en depresión resistente y ansiedad, pero la evidencia es limitada en comparación con fármacos tradicionales. La psilocibina puede ofrecer beneficios duraderos tras una única </w:t>
            </w:r>
            <w:proofErr w:type="spellStart"/>
            <w:proofErr w:type="gramStart"/>
            <w:r>
              <w:rPr>
                <w:lang w:val="es-ES"/>
              </w:rPr>
              <w:t>sesión.</w:t>
            </w:r>
            <w:r>
              <w:rPr>
                <w:i/>
                <w:iCs/>
                <w:lang w:val="es-ES"/>
              </w:rPr>
              <w:t>Referencias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Davis et al., 2021; Griffiths et al., 2016.</w:t>
            </w:r>
          </w:p>
        </w:tc>
      </w:tr>
      <w:tr w:rsidR="00E732D7" w:rsidRPr="001E1DDD" w14:paraId="421F4B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6B0D3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>Modelo de seguridad y tolerabilidad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A5DED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Los efectos secundarios pueden incluir somnolencia, aumento de peso, disfunción sexual y, en algunos casos, riesgo de </w:t>
            </w:r>
            <w:proofErr w:type="spellStart"/>
            <w:proofErr w:type="gramStart"/>
            <w:r>
              <w:rPr>
                <w:lang w:val="es-ES"/>
              </w:rPr>
              <w:t>dependencia.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 xml:space="preserve">: </w:t>
            </w:r>
            <w:proofErr w:type="spellStart"/>
            <w:r>
              <w:rPr>
                <w:i/>
                <w:iCs/>
                <w:lang w:val="es-ES"/>
              </w:rPr>
              <w:t>Preskorn</w:t>
            </w:r>
            <w:proofErr w:type="spellEnd"/>
            <w:r>
              <w:rPr>
                <w:i/>
                <w:iCs/>
                <w:lang w:val="es-ES"/>
              </w:rPr>
              <w:t>, 2014.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22DAE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La psilocibina tiene bajo potencial de dependencia y suele ser bien tolerada si se administra en entornos controlados. Puede provocar experiencias psicológicas intensas, por lo que se requiere supervisión </w:t>
            </w:r>
            <w:proofErr w:type="spellStart"/>
            <w:proofErr w:type="gramStart"/>
            <w:r>
              <w:rPr>
                <w:lang w:val="es-ES"/>
              </w:rPr>
              <w:t>profesional.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Johnson et al., 2008.</w:t>
            </w:r>
          </w:p>
        </w:tc>
      </w:tr>
      <w:tr w:rsidR="00E732D7" w:rsidRPr="001E1DDD" w14:paraId="7A85C6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58979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>Modelo biopsicosocial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7B08A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El tratamiento farmacológico se complementa con terapia psicológica y apoyo social, aunque la intervención suele centrarse en el control de </w:t>
            </w:r>
            <w:proofErr w:type="spellStart"/>
            <w:proofErr w:type="gramStart"/>
            <w:r>
              <w:rPr>
                <w:lang w:val="es-ES"/>
              </w:rPr>
              <w:t>síntomas.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Engel, 1977.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C5FD8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La psilocibina se utiliza en combinación con acompañamiento psicoterapéutico, facilitando una integración profunda de la experiencia y abordando aspectos emocionales y </w:t>
            </w:r>
            <w:proofErr w:type="spellStart"/>
            <w:proofErr w:type="gramStart"/>
            <w:r>
              <w:rPr>
                <w:lang w:val="es-ES"/>
              </w:rPr>
              <w:t>sociales.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Watts et al., 2017.</w:t>
            </w:r>
          </w:p>
        </w:tc>
      </w:tr>
      <w:tr w:rsidR="00E732D7" w:rsidRPr="001E1DDD" w14:paraId="53A904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76395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>Situación legal en México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43A3F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Los medicamentos aprobados están regulados por la COFEPRIS y se pueden recetar bajo supervisión </w:t>
            </w:r>
            <w:proofErr w:type="spellStart"/>
            <w:proofErr w:type="gramStart"/>
            <w:r>
              <w:rPr>
                <w:lang w:val="es-ES"/>
              </w:rPr>
              <w:t>médica.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COFEPRIS, 2022.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B6B1D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La psilocibina está considerada como sustancia prohibida en México y su uso terapéutico no está permitido, salvo en contextos de investigación </w:t>
            </w:r>
            <w:proofErr w:type="spellStart"/>
            <w:proofErr w:type="gramStart"/>
            <w:r>
              <w:rPr>
                <w:lang w:val="es-ES"/>
              </w:rPr>
              <w:t>autorizada.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>: Ley General de Salud, México, 2022.</w:t>
            </w:r>
          </w:p>
        </w:tc>
      </w:tr>
      <w:tr w:rsidR="00E732D7" w:rsidRPr="001E1DDD" w14:paraId="5B486A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DF7CB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Situación legal en Canadá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7EC0F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Los fármacos tradicionales están aprobados y regulados por Health </w:t>
            </w:r>
            <w:proofErr w:type="spellStart"/>
            <w:r>
              <w:rPr>
                <w:lang w:val="es-ES"/>
              </w:rPr>
              <w:t>Canada.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r>
              <w:rPr>
                <w:i/>
                <w:iCs/>
                <w:lang w:val="es-ES"/>
              </w:rPr>
              <w:t>: Health Canada, 2023.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7AF9A" w14:textId="77777777" w:rsidR="00E732D7" w:rsidRDefault="00E732D7">
            <w:pPr>
              <w:rPr>
                <w:lang w:val="es-ES"/>
              </w:rPr>
            </w:pPr>
            <w:r>
              <w:rPr>
                <w:lang w:val="es-ES"/>
              </w:rPr>
              <w:t xml:space="preserve">En Canadá, la psilocibina está prohibida, pero existen excepciones para su uso terapéutico en casos específicos, como pacientes con depresión resistente o cuidados paliativos, previa autorización </w:t>
            </w:r>
            <w:proofErr w:type="spellStart"/>
            <w:proofErr w:type="gramStart"/>
            <w:r>
              <w:rPr>
                <w:lang w:val="es-ES"/>
              </w:rPr>
              <w:t>especial.</w:t>
            </w:r>
            <w:r>
              <w:rPr>
                <w:i/>
                <w:iCs/>
                <w:lang w:val="es-ES"/>
              </w:rPr>
              <w:t>Referencia</w:t>
            </w:r>
            <w:proofErr w:type="spellEnd"/>
            <w:proofErr w:type="gramEnd"/>
            <w:r>
              <w:rPr>
                <w:i/>
                <w:iCs/>
                <w:lang w:val="es-ES"/>
              </w:rPr>
              <w:t xml:space="preserve">: Health Canada, 2023; Canadian </w:t>
            </w:r>
            <w:proofErr w:type="spellStart"/>
            <w:r>
              <w:rPr>
                <w:i/>
                <w:iCs/>
                <w:lang w:val="es-ES"/>
              </w:rPr>
              <w:t>Drugs</w:t>
            </w:r>
            <w:proofErr w:type="spellEnd"/>
            <w:r>
              <w:rPr>
                <w:i/>
                <w:iCs/>
                <w:lang w:val="es-ES"/>
              </w:rPr>
              <w:t xml:space="preserve"> and </w:t>
            </w:r>
            <w:proofErr w:type="spellStart"/>
            <w:r>
              <w:rPr>
                <w:i/>
                <w:iCs/>
                <w:lang w:val="es-ES"/>
              </w:rPr>
              <w:t>Substances</w:t>
            </w:r>
            <w:proofErr w:type="spellEnd"/>
            <w:r>
              <w:rPr>
                <w:i/>
                <w:iCs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lang w:val="es-ES"/>
              </w:rPr>
              <w:t>Act</w:t>
            </w:r>
            <w:proofErr w:type="spellEnd"/>
            <w:r>
              <w:rPr>
                <w:i/>
                <w:iCs/>
                <w:lang w:val="es-ES"/>
              </w:rPr>
              <w:t>.</w:t>
            </w:r>
          </w:p>
        </w:tc>
      </w:tr>
    </w:tbl>
    <w:p w14:paraId="042E96FA" w14:textId="77777777" w:rsidR="00E732D7" w:rsidRDefault="00E732D7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A62A00F" w14:textId="77777777" w:rsidR="00E732D7" w:rsidRDefault="00E732D7">
      <w:pPr>
        <w:pStyle w:val="Ttulo1"/>
        <w:rPr>
          <w:rFonts w:ascii="Calibri Light" w:eastAsia="Times New Roman" w:hAnsi="Calibri Light" w:cs="Calibri Light"/>
          <w:lang w:val="es-ES"/>
        </w:rPr>
      </w:pPr>
      <w:r>
        <w:rPr>
          <w:rFonts w:eastAsia="Times New Roman"/>
          <w:lang w:val="es-ES"/>
        </w:rPr>
        <w:t>Bibliografía</w:t>
      </w:r>
    </w:p>
    <w:p w14:paraId="04A30B83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Stahl, S. M. (2013). </w:t>
      </w:r>
      <w:r w:rsidRPr="001302D3">
        <w:rPr>
          <w:rFonts w:eastAsia="Times New Roman"/>
          <w:i/>
          <w:iCs/>
        </w:rPr>
        <w:t>Stahl's Essential Psychopharmacology</w:t>
      </w:r>
      <w:r w:rsidRPr="001302D3">
        <w:rPr>
          <w:rFonts w:eastAsia="Times New Roman"/>
        </w:rPr>
        <w:t xml:space="preserve">. </w:t>
      </w:r>
      <w:r>
        <w:rPr>
          <w:rFonts w:eastAsia="Times New Roman"/>
          <w:lang w:val="es-ES"/>
        </w:rPr>
        <w:t xml:space="preserve">Cambridge </w:t>
      </w:r>
      <w:proofErr w:type="spellStart"/>
      <w:r>
        <w:rPr>
          <w:rFonts w:eastAsia="Times New Roman"/>
          <w:lang w:val="es-ES"/>
        </w:rPr>
        <w:t>University</w:t>
      </w:r>
      <w:proofErr w:type="spellEnd"/>
      <w:r>
        <w:rPr>
          <w:rFonts w:eastAsia="Times New Roman"/>
          <w:lang w:val="es-ES"/>
        </w:rPr>
        <w:t xml:space="preserve"> Press.</w:t>
      </w:r>
    </w:p>
    <w:p w14:paraId="7DFD4C92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Rang, H. P., Dale, M. M., Ritter, J. M., Flower, R. J., &amp; Henderson, G. (2012). </w:t>
      </w:r>
      <w:r>
        <w:rPr>
          <w:rFonts w:eastAsia="Times New Roman"/>
          <w:i/>
          <w:iCs/>
          <w:lang w:val="es-ES"/>
        </w:rPr>
        <w:t xml:space="preserve">Rang &amp; </w:t>
      </w:r>
      <w:proofErr w:type="spellStart"/>
      <w:r>
        <w:rPr>
          <w:rFonts w:eastAsia="Times New Roman"/>
          <w:i/>
          <w:iCs/>
          <w:lang w:val="es-ES"/>
        </w:rPr>
        <w:t>Dale's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Pharmacology</w:t>
      </w:r>
      <w:proofErr w:type="spellEnd"/>
      <w:r>
        <w:rPr>
          <w:rFonts w:eastAsia="Times New Roman"/>
          <w:lang w:val="es-ES"/>
        </w:rPr>
        <w:t>. Elsevier.</w:t>
      </w:r>
    </w:p>
    <w:p w14:paraId="796F6EC7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Cipriani, A., Furukawa, T. A., Salanti, G., et al. (2018). Comparative efficacy and acceptability of 21 antidepressant drugs. </w:t>
      </w:r>
      <w:r>
        <w:rPr>
          <w:rFonts w:eastAsia="Times New Roman"/>
          <w:i/>
          <w:iCs/>
          <w:lang w:val="es-ES"/>
        </w:rPr>
        <w:t>The Lancet</w:t>
      </w:r>
      <w:r>
        <w:rPr>
          <w:rFonts w:eastAsia="Times New Roman"/>
          <w:lang w:val="es-ES"/>
        </w:rPr>
        <w:t>, 391(10128), 1357-1366.</w:t>
      </w:r>
    </w:p>
    <w:p w14:paraId="42F9BE4E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GBD 2015 Disease and Injury Incidence and Prevalence Collaborators (2016). Global, regional, and national incidence, prevalence, and years lived with disability. </w:t>
      </w:r>
      <w:r>
        <w:rPr>
          <w:rFonts w:eastAsia="Times New Roman"/>
          <w:i/>
          <w:iCs/>
          <w:lang w:val="es-ES"/>
        </w:rPr>
        <w:t>The Lancet</w:t>
      </w:r>
      <w:r>
        <w:rPr>
          <w:rFonts w:eastAsia="Times New Roman"/>
          <w:lang w:val="es-ES"/>
        </w:rPr>
        <w:t>, 388(10053), 1545–1602.</w:t>
      </w:r>
    </w:p>
    <w:p w14:paraId="0206937A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Carhart-Harris, R. L., et al. (2016). The psychological mechanisms of action of psilocybin in treating depression. </w:t>
      </w:r>
      <w:proofErr w:type="spellStart"/>
      <w:r>
        <w:rPr>
          <w:rFonts w:eastAsia="Times New Roman"/>
          <w:i/>
          <w:iCs/>
          <w:lang w:val="es-ES"/>
        </w:rPr>
        <w:t>Frontiers</w:t>
      </w:r>
      <w:proofErr w:type="spellEnd"/>
      <w:r>
        <w:rPr>
          <w:rFonts w:eastAsia="Times New Roman"/>
          <w:i/>
          <w:iCs/>
          <w:lang w:val="es-ES"/>
        </w:rPr>
        <w:t xml:space="preserve"> in </w:t>
      </w:r>
      <w:proofErr w:type="spellStart"/>
      <w:r>
        <w:rPr>
          <w:rFonts w:eastAsia="Times New Roman"/>
          <w:i/>
          <w:iCs/>
          <w:lang w:val="es-ES"/>
        </w:rPr>
        <w:t>Pharmacology</w:t>
      </w:r>
      <w:proofErr w:type="spellEnd"/>
      <w:r>
        <w:rPr>
          <w:rFonts w:eastAsia="Times New Roman"/>
          <w:lang w:val="es-ES"/>
        </w:rPr>
        <w:t>, 7, 104.</w:t>
      </w:r>
    </w:p>
    <w:p w14:paraId="51545A54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Davis, A. K., et al. (2021). Effects of psilocybin-assisted therapy on major depressive disorder. </w:t>
      </w:r>
      <w:r>
        <w:rPr>
          <w:rFonts w:eastAsia="Times New Roman"/>
          <w:i/>
          <w:iCs/>
          <w:lang w:val="es-ES"/>
        </w:rPr>
        <w:t xml:space="preserve">JAMA </w:t>
      </w:r>
      <w:proofErr w:type="spellStart"/>
      <w:r>
        <w:rPr>
          <w:rFonts w:eastAsia="Times New Roman"/>
          <w:i/>
          <w:iCs/>
          <w:lang w:val="es-ES"/>
        </w:rPr>
        <w:t>Psychiatry</w:t>
      </w:r>
      <w:proofErr w:type="spellEnd"/>
      <w:r>
        <w:rPr>
          <w:rFonts w:eastAsia="Times New Roman"/>
          <w:lang w:val="es-ES"/>
        </w:rPr>
        <w:t>, 78(5), 481-489.</w:t>
      </w:r>
    </w:p>
    <w:p w14:paraId="2C1A2C66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Johnson, M. W., et al. (2008). Safety and tolerability of psilocybin. </w:t>
      </w:r>
      <w:proofErr w:type="spellStart"/>
      <w:r>
        <w:rPr>
          <w:rFonts w:eastAsia="Times New Roman"/>
          <w:i/>
          <w:iCs/>
          <w:lang w:val="es-ES"/>
        </w:rPr>
        <w:t>Psychopharmacology</w:t>
      </w:r>
      <w:proofErr w:type="spellEnd"/>
      <w:r>
        <w:rPr>
          <w:rFonts w:eastAsia="Times New Roman"/>
          <w:lang w:val="es-ES"/>
        </w:rPr>
        <w:t>, 198(2), 267–272.</w:t>
      </w:r>
    </w:p>
    <w:p w14:paraId="03261468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Johnson, M. W., et al. (2019). Psilocybin for treatment-resistant depression: Efficacy and safety. </w:t>
      </w:r>
      <w:r>
        <w:rPr>
          <w:rFonts w:eastAsia="Times New Roman"/>
          <w:i/>
          <w:iCs/>
          <w:lang w:val="es-ES"/>
        </w:rPr>
        <w:t xml:space="preserve">American </w:t>
      </w:r>
      <w:proofErr w:type="spellStart"/>
      <w:r>
        <w:rPr>
          <w:rFonts w:eastAsia="Times New Roman"/>
          <w:i/>
          <w:iCs/>
          <w:lang w:val="es-ES"/>
        </w:rPr>
        <w:t>Journal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of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Psychiatry</w:t>
      </w:r>
      <w:proofErr w:type="spellEnd"/>
      <w:r>
        <w:rPr>
          <w:rFonts w:eastAsia="Times New Roman"/>
          <w:lang w:val="es-ES"/>
        </w:rPr>
        <w:t>, 176(5), 356-367.</w:t>
      </w:r>
    </w:p>
    <w:p w14:paraId="66E99AF8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Watts, R., et al. (2017). </w:t>
      </w:r>
      <w:proofErr w:type="gramStart"/>
      <w:r w:rsidRPr="001302D3">
        <w:rPr>
          <w:rFonts w:eastAsia="Times New Roman"/>
        </w:rPr>
        <w:t>Patients'</w:t>
      </w:r>
      <w:proofErr w:type="gramEnd"/>
      <w:r w:rsidRPr="001302D3">
        <w:rPr>
          <w:rFonts w:eastAsia="Times New Roman"/>
        </w:rPr>
        <w:t xml:space="preserve"> </w:t>
      </w:r>
      <w:proofErr w:type="gramStart"/>
      <w:r w:rsidRPr="001302D3">
        <w:rPr>
          <w:rFonts w:eastAsia="Times New Roman"/>
        </w:rPr>
        <w:t>accounts</w:t>
      </w:r>
      <w:proofErr w:type="gramEnd"/>
      <w:r w:rsidRPr="001302D3">
        <w:rPr>
          <w:rFonts w:eastAsia="Times New Roman"/>
        </w:rPr>
        <w:t xml:space="preserve"> </w:t>
      </w:r>
      <w:proofErr w:type="gramStart"/>
      <w:r w:rsidRPr="001302D3">
        <w:rPr>
          <w:rFonts w:eastAsia="Times New Roman"/>
        </w:rPr>
        <w:t>of</w:t>
      </w:r>
      <w:proofErr w:type="gramEnd"/>
      <w:r w:rsidRPr="001302D3">
        <w:rPr>
          <w:rFonts w:eastAsia="Times New Roman"/>
        </w:rPr>
        <w:t xml:space="preserve"> increased connectedness and acceptance after psilocybin for depression. </w:t>
      </w:r>
      <w:proofErr w:type="spellStart"/>
      <w:r>
        <w:rPr>
          <w:rFonts w:eastAsia="Times New Roman"/>
          <w:i/>
          <w:iCs/>
          <w:lang w:val="es-ES"/>
        </w:rPr>
        <w:t>Journal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of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Humanistic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Psychology</w:t>
      </w:r>
      <w:proofErr w:type="spellEnd"/>
      <w:r>
        <w:rPr>
          <w:rFonts w:eastAsia="Times New Roman"/>
          <w:lang w:val="es-ES"/>
        </w:rPr>
        <w:t>, 57(5), 520–564.</w:t>
      </w:r>
    </w:p>
    <w:p w14:paraId="2AEAF6FC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Griffiths, R. R., et al. (2016). Psilocybin produces substantial and sustained decreases in depression and anxiety. </w:t>
      </w:r>
      <w:proofErr w:type="spellStart"/>
      <w:r>
        <w:rPr>
          <w:rFonts w:eastAsia="Times New Roman"/>
          <w:i/>
          <w:iCs/>
          <w:lang w:val="es-ES"/>
        </w:rPr>
        <w:t>Journal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of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Psychopharmacology</w:t>
      </w:r>
      <w:proofErr w:type="spellEnd"/>
      <w:r>
        <w:rPr>
          <w:rFonts w:eastAsia="Times New Roman"/>
          <w:lang w:val="es-ES"/>
        </w:rPr>
        <w:t>, 30(12), 1181–1197.</w:t>
      </w:r>
    </w:p>
    <w:p w14:paraId="1311F8B1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proofErr w:type="spellStart"/>
      <w:r w:rsidRPr="001302D3">
        <w:rPr>
          <w:rFonts w:eastAsia="Times New Roman"/>
        </w:rPr>
        <w:t>Preskorn</w:t>
      </w:r>
      <w:proofErr w:type="spellEnd"/>
      <w:r w:rsidRPr="001302D3">
        <w:rPr>
          <w:rFonts w:eastAsia="Times New Roman"/>
        </w:rPr>
        <w:t xml:space="preserve">, S. H. (2014). Side Effects of Antidepressants. </w:t>
      </w:r>
      <w:proofErr w:type="spellStart"/>
      <w:r>
        <w:rPr>
          <w:rFonts w:eastAsia="Times New Roman"/>
          <w:i/>
          <w:iCs/>
          <w:lang w:val="es-ES"/>
        </w:rPr>
        <w:t>Clinical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Pharmacology</w:t>
      </w:r>
      <w:proofErr w:type="spellEnd"/>
      <w:r>
        <w:rPr>
          <w:rFonts w:eastAsia="Times New Roman"/>
          <w:lang w:val="es-ES"/>
        </w:rPr>
        <w:t>.</w:t>
      </w:r>
    </w:p>
    <w:p w14:paraId="337E5B4B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1302D3">
        <w:rPr>
          <w:rFonts w:eastAsia="Times New Roman"/>
        </w:rPr>
        <w:t xml:space="preserve">Engel, G. L. (1977). The need for a new medical model: A challenge for biomedicine. </w:t>
      </w:r>
      <w:proofErr w:type="spellStart"/>
      <w:r>
        <w:rPr>
          <w:rFonts w:eastAsia="Times New Roman"/>
          <w:i/>
          <w:iCs/>
          <w:lang w:val="es-ES"/>
        </w:rPr>
        <w:t>Science</w:t>
      </w:r>
      <w:proofErr w:type="spellEnd"/>
      <w:r>
        <w:rPr>
          <w:rFonts w:eastAsia="Times New Roman"/>
          <w:lang w:val="es-ES"/>
        </w:rPr>
        <w:t>, 196(4286), 129–136.</w:t>
      </w:r>
    </w:p>
    <w:p w14:paraId="1181208B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COFEPRIS. (2022). Regulación y control de medicamentos en México.</w:t>
      </w:r>
    </w:p>
    <w:p w14:paraId="21CA353C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Ley General de Salud, México. (2022).</w:t>
      </w:r>
    </w:p>
    <w:p w14:paraId="6569163C" w14:textId="77777777" w:rsidR="00E732D7" w:rsidRPr="001302D3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</w:rPr>
      </w:pPr>
      <w:r w:rsidRPr="001302D3">
        <w:rPr>
          <w:rFonts w:eastAsia="Times New Roman"/>
        </w:rPr>
        <w:t>Health Canada. (2023). Drug and Health Product Regulation.</w:t>
      </w:r>
    </w:p>
    <w:p w14:paraId="0B86FB07" w14:textId="77777777" w:rsidR="00E732D7" w:rsidRDefault="00E732D7" w:rsidP="00E732D7">
      <w:pPr>
        <w:numPr>
          <w:ilvl w:val="0"/>
          <w:numId w:val="19"/>
        </w:numPr>
        <w:spacing w:line="256" w:lineRule="auto"/>
        <w:rPr>
          <w:rFonts w:eastAsia="Times New Roman"/>
        </w:rPr>
      </w:pPr>
      <w:r w:rsidRPr="001302D3">
        <w:rPr>
          <w:rFonts w:eastAsia="Times New Roman"/>
        </w:rPr>
        <w:t>Canadian Drugs and Substances Act.</w:t>
      </w:r>
    </w:p>
    <w:p w14:paraId="41E4E277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58235031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6B144E00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1CF935CC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311529ED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68FCE829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02DF31FA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083F7609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61BB818B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5FBBF29F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62E1464E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4923B8B0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5CE0E6B1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613C2A29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60D6465B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5AB61676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0F9054D3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01B5F5C4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317504E7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3AACF13F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4E392028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378B8302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3A7B1013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769968A5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08C32105" w14:textId="77777777" w:rsidR="001E1DDD" w:rsidRDefault="001E1DDD" w:rsidP="001E1DDD">
      <w:pPr>
        <w:spacing w:line="256" w:lineRule="auto"/>
        <w:rPr>
          <w:rFonts w:eastAsia="Times New Roman"/>
        </w:rPr>
      </w:pPr>
    </w:p>
    <w:p w14:paraId="7F8D28AC" w14:textId="77777777" w:rsidR="001E1DDD" w:rsidRDefault="001E1DDD" w:rsidP="001E1DDD">
      <w:pPr>
        <w:spacing w:line="256" w:lineRule="auto"/>
        <w:rPr>
          <w:rFonts w:eastAsia="Times New Roman"/>
        </w:rPr>
      </w:pPr>
    </w:p>
    <w:sectPr w:rsidR="001E1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31B"/>
    <w:multiLevelType w:val="multilevel"/>
    <w:tmpl w:val="65F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544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240D5C"/>
    <w:multiLevelType w:val="multilevel"/>
    <w:tmpl w:val="811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3A45"/>
    <w:multiLevelType w:val="multilevel"/>
    <w:tmpl w:val="3088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60A1"/>
    <w:multiLevelType w:val="multilevel"/>
    <w:tmpl w:val="AC06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749C5"/>
    <w:multiLevelType w:val="multilevel"/>
    <w:tmpl w:val="95A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67DAD"/>
    <w:multiLevelType w:val="multilevel"/>
    <w:tmpl w:val="57FC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820A0"/>
    <w:multiLevelType w:val="multilevel"/>
    <w:tmpl w:val="A14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80FE7"/>
    <w:multiLevelType w:val="multilevel"/>
    <w:tmpl w:val="979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02875"/>
    <w:multiLevelType w:val="multilevel"/>
    <w:tmpl w:val="76E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60040"/>
    <w:multiLevelType w:val="multilevel"/>
    <w:tmpl w:val="6DD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24ECD"/>
    <w:multiLevelType w:val="multilevel"/>
    <w:tmpl w:val="B14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D3568"/>
    <w:multiLevelType w:val="multilevel"/>
    <w:tmpl w:val="299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C201F"/>
    <w:multiLevelType w:val="multilevel"/>
    <w:tmpl w:val="ED3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87CF4"/>
    <w:multiLevelType w:val="multilevel"/>
    <w:tmpl w:val="C34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C531B"/>
    <w:multiLevelType w:val="multilevel"/>
    <w:tmpl w:val="D19C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64717"/>
    <w:multiLevelType w:val="multilevel"/>
    <w:tmpl w:val="188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73390"/>
    <w:multiLevelType w:val="multilevel"/>
    <w:tmpl w:val="BB6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B136B9"/>
    <w:multiLevelType w:val="multilevel"/>
    <w:tmpl w:val="369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D541C"/>
    <w:multiLevelType w:val="multilevel"/>
    <w:tmpl w:val="F2E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35CCF"/>
    <w:multiLevelType w:val="multilevel"/>
    <w:tmpl w:val="60B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2106">
    <w:abstractNumId w:val="1"/>
  </w:num>
  <w:num w:numId="2" w16cid:durableId="129445046">
    <w:abstractNumId w:val="10"/>
  </w:num>
  <w:num w:numId="3" w16cid:durableId="1736318960">
    <w:abstractNumId w:val="11"/>
  </w:num>
  <w:num w:numId="4" w16cid:durableId="372731424">
    <w:abstractNumId w:val="14"/>
  </w:num>
  <w:num w:numId="5" w16cid:durableId="688802074">
    <w:abstractNumId w:val="13"/>
  </w:num>
  <w:num w:numId="6" w16cid:durableId="387001957">
    <w:abstractNumId w:val="5"/>
  </w:num>
  <w:num w:numId="7" w16cid:durableId="1407147902">
    <w:abstractNumId w:val="18"/>
  </w:num>
  <w:num w:numId="8" w16cid:durableId="1872264244">
    <w:abstractNumId w:val="7"/>
  </w:num>
  <w:num w:numId="9" w16cid:durableId="417481618">
    <w:abstractNumId w:val="3"/>
  </w:num>
  <w:num w:numId="10" w16cid:durableId="123694738">
    <w:abstractNumId w:val="19"/>
  </w:num>
  <w:num w:numId="11" w16cid:durableId="825589373">
    <w:abstractNumId w:val="20"/>
  </w:num>
  <w:num w:numId="12" w16cid:durableId="577129164">
    <w:abstractNumId w:val="4"/>
  </w:num>
  <w:num w:numId="13" w16cid:durableId="1883597034">
    <w:abstractNumId w:val="2"/>
  </w:num>
  <w:num w:numId="14" w16cid:durableId="1711026845">
    <w:abstractNumId w:val="8"/>
  </w:num>
  <w:num w:numId="15" w16cid:durableId="804733968">
    <w:abstractNumId w:val="9"/>
  </w:num>
  <w:num w:numId="16" w16cid:durableId="1028797977">
    <w:abstractNumId w:val="15"/>
  </w:num>
  <w:num w:numId="17" w16cid:durableId="1625115415">
    <w:abstractNumId w:val="16"/>
  </w:num>
  <w:num w:numId="18" w16cid:durableId="1143891658">
    <w:abstractNumId w:val="12"/>
  </w:num>
  <w:num w:numId="19" w16cid:durableId="268045218">
    <w:abstractNumId w:val="0"/>
  </w:num>
  <w:num w:numId="20" w16cid:durableId="8653">
    <w:abstractNumId w:val="6"/>
  </w:num>
  <w:num w:numId="21" w16cid:durableId="2017891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84"/>
    <w:rsid w:val="000C37D7"/>
    <w:rsid w:val="000D677C"/>
    <w:rsid w:val="001302D3"/>
    <w:rsid w:val="001E1DDD"/>
    <w:rsid w:val="001E64C4"/>
    <w:rsid w:val="00325D26"/>
    <w:rsid w:val="004E3C30"/>
    <w:rsid w:val="00594FDE"/>
    <w:rsid w:val="007F5D1C"/>
    <w:rsid w:val="009305E2"/>
    <w:rsid w:val="0097403E"/>
    <w:rsid w:val="009A094C"/>
    <w:rsid w:val="009F5984"/>
    <w:rsid w:val="00A85AC4"/>
    <w:rsid w:val="00E7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60F0"/>
  <w15:chartTrackingRefBased/>
  <w15:docId w15:val="{4F8088F4-4369-4A1B-801B-5C0B617D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1C"/>
  </w:style>
  <w:style w:type="paragraph" w:styleId="Ttulo1">
    <w:name w:val="heading 1"/>
    <w:basedOn w:val="Normal"/>
    <w:next w:val="Normal"/>
    <w:link w:val="Ttulo1Car"/>
    <w:uiPriority w:val="9"/>
    <w:qFormat/>
    <w:rsid w:val="009F5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9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9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9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9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9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9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64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6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722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11</cp:revision>
  <dcterms:created xsi:type="dcterms:W3CDTF">2026-03-31T23:52:00Z</dcterms:created>
  <dcterms:modified xsi:type="dcterms:W3CDTF">2026-04-07T22:28:00Z</dcterms:modified>
</cp:coreProperties>
</file>