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57A" w14:textId="77777777" w:rsidR="00D106AD" w:rsidRPr="0063772C" w:rsidRDefault="00D106AD" w:rsidP="00D106AD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63772C">
        <w:rPr>
          <w:rFonts w:ascii="Arial" w:hAnsi="Arial" w:cs="Arial"/>
          <w:sz w:val="24"/>
          <w:szCs w:val="24"/>
          <w:lang w:val="es-MX"/>
        </w:rPr>
        <w:t>Modelo farmacodinámico y farmacocinético </w:t>
      </w:r>
    </w:p>
    <w:p w14:paraId="6F4E68EF" w14:textId="77777777" w:rsidR="00D106AD" w:rsidRDefault="00D106AD" w:rsidP="00D106AD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3941"/>
        <w:gridCol w:w="3848"/>
      </w:tblGrid>
      <w:tr w:rsidR="00D106AD" w14:paraId="57EC6F05" w14:textId="77777777" w:rsidTr="00A641E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1C7AD5" w14:textId="77777777" w:rsidR="00D106AD" w:rsidRDefault="00D106AD" w:rsidP="00A641E0">
            <w:pPr>
              <w:spacing w:after="0" w:line="240" w:lineRule="auto"/>
              <w:rPr>
                <w:b/>
                <w:bCs/>
                <w:kern w:val="0"/>
                <w:lang w:val="es-ES"/>
                <w14:ligatures w14:val="none"/>
              </w:rPr>
            </w:pPr>
            <w:r>
              <w:rPr>
                <w:b/>
                <w:bCs/>
                <w:lang w:val="es-ES"/>
              </w:rPr>
              <w:t>Aspecto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A10756" w14:textId="77777777" w:rsidR="00D106AD" w:rsidRDefault="00D106AD" w:rsidP="00A641E0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Psilocibina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A32C6E" w14:textId="77777777" w:rsidR="00D106AD" w:rsidRDefault="00D106AD" w:rsidP="00A641E0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Psicofármacos (ISRS, benzodiacepinas, etc.)</w:t>
            </w:r>
          </w:p>
        </w:tc>
      </w:tr>
      <w:tr w:rsidR="00D106AD" w:rsidRPr="003E7C56" w14:paraId="6E54ABF8" w14:textId="77777777" w:rsidTr="00A641E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46C04B6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Farmacocinética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EFD7130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Absorción rápida por vía oral; inicio de efectos en 20-40 minutos, duración de 4-6 horas. Metabolización principal en el hígado por desfosforilación a psilocina, excreción </w:t>
            </w:r>
            <w:proofErr w:type="gramStart"/>
            <w:r>
              <w:rPr>
                <w:lang w:val="es-ES"/>
              </w:rPr>
              <w:t>renal.</w:t>
            </w:r>
            <w:r>
              <w:rPr>
                <w:sz w:val="20"/>
                <w:szCs w:val="20"/>
                <w:lang w:val="es-ES"/>
              </w:rPr>
              <w:t>(</w:t>
            </w:r>
            <w:proofErr w:type="gramEnd"/>
            <w:r>
              <w:rPr>
                <w:sz w:val="20"/>
                <w:szCs w:val="20"/>
                <w:lang w:val="es-ES"/>
              </w:rPr>
              <w:t>Carhart-Harris et al., 2018; Hasler et al., 1997)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BEC2BAF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Absorción variable según el fármaco y la vía; ISRS suelen tardar días a semanas en alcanzar concentración estable. Metabolización hepática (CYP450), excreción principalmente </w:t>
            </w:r>
            <w:proofErr w:type="gramStart"/>
            <w:r>
              <w:rPr>
                <w:lang w:val="es-ES"/>
              </w:rPr>
              <w:t>renal.</w:t>
            </w:r>
            <w:r>
              <w:rPr>
                <w:sz w:val="20"/>
                <w:szCs w:val="20"/>
                <w:lang w:val="es-ES"/>
              </w:rPr>
              <w:t>(</w:t>
            </w:r>
            <w:proofErr w:type="gramEnd"/>
            <w:r>
              <w:rPr>
                <w:sz w:val="20"/>
                <w:szCs w:val="20"/>
                <w:lang w:val="es-ES"/>
              </w:rPr>
              <w:t>Preskorn, 1996; Schatzberg et al., 2010)</w:t>
            </w:r>
          </w:p>
        </w:tc>
      </w:tr>
      <w:tr w:rsidR="00D106AD" w:rsidRPr="003E7C56" w14:paraId="7F7A4380" w14:textId="77777777" w:rsidTr="00A641E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56294D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Farmacodinamia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7B5181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Agonista parcial de receptores 5-HT2A, modula neurotransmisión serotoninérgica y produce efectos psicodélicos, alterando percepción, emoción y </w:t>
            </w:r>
            <w:proofErr w:type="gramStart"/>
            <w:r>
              <w:rPr>
                <w:lang w:val="es-ES"/>
              </w:rPr>
              <w:t>cognición.</w:t>
            </w:r>
            <w:r>
              <w:rPr>
                <w:sz w:val="20"/>
                <w:szCs w:val="20"/>
                <w:lang w:val="es-ES"/>
              </w:rPr>
              <w:t>(</w:t>
            </w:r>
            <w:proofErr w:type="gramEnd"/>
            <w:r>
              <w:rPr>
                <w:sz w:val="20"/>
                <w:szCs w:val="20"/>
                <w:lang w:val="es-ES"/>
              </w:rPr>
              <w:t>Vollenweider &amp; Kometer, 2010)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F2963C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ISRS: inhiben recaptación de serotonina, aumentando su disponibilidad en sinapsis; benzodiacepinas: potencian GABA, generando efectos ansiolíticos y </w:t>
            </w:r>
            <w:proofErr w:type="gramStart"/>
            <w:r>
              <w:rPr>
                <w:lang w:val="es-ES"/>
              </w:rPr>
              <w:t>sedantes.</w:t>
            </w:r>
            <w:r>
              <w:rPr>
                <w:sz w:val="20"/>
                <w:szCs w:val="20"/>
                <w:lang w:val="es-ES"/>
              </w:rPr>
              <w:t>(</w:t>
            </w:r>
            <w:proofErr w:type="gramEnd"/>
            <w:r>
              <w:rPr>
                <w:sz w:val="20"/>
                <w:szCs w:val="20"/>
                <w:lang w:val="es-ES"/>
              </w:rPr>
              <w:t>Stahl, 2013; Brunton et al., 2018)</w:t>
            </w:r>
          </w:p>
        </w:tc>
      </w:tr>
      <w:tr w:rsidR="00D106AD" w:rsidRPr="003E7C56" w14:paraId="757D3679" w14:textId="77777777" w:rsidTr="00A641E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07C7F30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Inicio de acción clínica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3280751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Efecto agudo tras administración, con potencial de mejora duradera tras sesiones </w:t>
            </w:r>
            <w:proofErr w:type="gramStart"/>
            <w:r>
              <w:rPr>
                <w:lang w:val="es-ES"/>
              </w:rPr>
              <w:t>controladas.</w:t>
            </w:r>
            <w:r>
              <w:rPr>
                <w:sz w:val="20"/>
                <w:szCs w:val="20"/>
                <w:lang w:val="es-ES"/>
              </w:rPr>
              <w:t>(</w:t>
            </w:r>
            <w:proofErr w:type="gramEnd"/>
            <w:r>
              <w:rPr>
                <w:sz w:val="20"/>
                <w:szCs w:val="20"/>
                <w:lang w:val="es-ES"/>
              </w:rPr>
              <w:t>Griffiths et al., 2016)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1AD6EB8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ISRS: efecto gradual, requiere varias semanas; benzodiacepinas: efecto </w:t>
            </w:r>
            <w:proofErr w:type="gramStart"/>
            <w:r>
              <w:rPr>
                <w:lang w:val="es-ES"/>
              </w:rPr>
              <w:t>inmediato</w:t>
            </w:r>
            <w:proofErr w:type="gramEnd"/>
            <w:r>
              <w:rPr>
                <w:lang w:val="es-ES"/>
              </w:rPr>
              <w:t xml:space="preserve"> pero uso limitado por tolerancia y </w:t>
            </w:r>
            <w:proofErr w:type="gramStart"/>
            <w:r>
              <w:rPr>
                <w:lang w:val="es-ES"/>
              </w:rPr>
              <w:t>dependencia.</w:t>
            </w:r>
            <w:r>
              <w:rPr>
                <w:sz w:val="20"/>
                <w:szCs w:val="20"/>
                <w:lang w:val="es-ES"/>
              </w:rPr>
              <w:t>(</w:t>
            </w:r>
            <w:proofErr w:type="gramEnd"/>
            <w:r>
              <w:rPr>
                <w:sz w:val="20"/>
                <w:szCs w:val="20"/>
                <w:lang w:val="es-ES"/>
              </w:rPr>
              <w:t>Baldwin et al., 2014; Cipriani et al., 2018)</w:t>
            </w:r>
          </w:p>
        </w:tc>
      </w:tr>
      <w:tr w:rsidR="00D106AD" w:rsidRPr="003E7C56" w14:paraId="79CD532F" w14:textId="77777777" w:rsidTr="00A641E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9FB18D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Duración de efectos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6B46DE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Horas tras dosis única, aunque algunos estudios sugieren efectos antidepresivos </w:t>
            </w:r>
            <w:proofErr w:type="gramStart"/>
            <w:r>
              <w:rPr>
                <w:lang w:val="es-ES"/>
              </w:rPr>
              <w:t>prolongados.</w:t>
            </w:r>
            <w:r>
              <w:rPr>
                <w:sz w:val="20"/>
                <w:szCs w:val="20"/>
                <w:lang w:val="es-ES"/>
              </w:rPr>
              <w:t>(</w:t>
            </w:r>
            <w:proofErr w:type="gramEnd"/>
            <w:r>
              <w:rPr>
                <w:sz w:val="20"/>
                <w:szCs w:val="20"/>
                <w:lang w:val="es-ES"/>
              </w:rPr>
              <w:t>Davis et al., 2021)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8A618F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ISRS: mantenimiento diario, efectos sostenidos; benzodiacepinas: breve duración, riesgo de </w:t>
            </w:r>
            <w:proofErr w:type="gramStart"/>
            <w:r>
              <w:rPr>
                <w:lang w:val="es-ES"/>
              </w:rPr>
              <w:t>dependencia.</w:t>
            </w:r>
            <w:r>
              <w:rPr>
                <w:sz w:val="20"/>
                <w:szCs w:val="20"/>
                <w:lang w:val="es-ES"/>
              </w:rPr>
              <w:t>(</w:t>
            </w:r>
            <w:proofErr w:type="gramEnd"/>
            <w:r>
              <w:rPr>
                <w:sz w:val="20"/>
                <w:szCs w:val="20"/>
                <w:lang w:val="es-ES"/>
              </w:rPr>
              <w:t>Stahl, 2013)</w:t>
            </w:r>
          </w:p>
        </w:tc>
      </w:tr>
      <w:tr w:rsidR="00D106AD" w:rsidRPr="003E7C56" w14:paraId="0BDE0F57" w14:textId="77777777" w:rsidTr="00A641E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4FD20AB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Metabolitos activos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DDB1DDC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Psilocina como principal metabolito </w:t>
            </w:r>
            <w:proofErr w:type="gramStart"/>
            <w:r>
              <w:rPr>
                <w:lang w:val="es-ES"/>
              </w:rPr>
              <w:t>activo.</w:t>
            </w:r>
            <w:r>
              <w:rPr>
                <w:sz w:val="20"/>
                <w:szCs w:val="20"/>
                <w:lang w:val="es-ES"/>
              </w:rPr>
              <w:t>(</w:t>
            </w:r>
            <w:proofErr w:type="gramEnd"/>
            <w:r>
              <w:rPr>
                <w:sz w:val="20"/>
                <w:szCs w:val="20"/>
                <w:lang w:val="es-ES"/>
              </w:rPr>
              <w:t>Hasler et al., 1997)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A153D51" w14:textId="77777777" w:rsidR="00D106AD" w:rsidRDefault="00D106AD" w:rsidP="00A641E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Varía según el fármaco; algunos tienen metabolitos activos (ej. norfluoxetina para fluoxetina</w:t>
            </w:r>
            <w:proofErr w:type="gramStart"/>
            <w:r>
              <w:rPr>
                <w:lang w:val="es-ES"/>
              </w:rPr>
              <w:t>).</w:t>
            </w:r>
            <w:r>
              <w:rPr>
                <w:sz w:val="20"/>
                <w:szCs w:val="20"/>
                <w:lang w:val="es-ES"/>
              </w:rPr>
              <w:t>(</w:t>
            </w:r>
            <w:proofErr w:type="gramEnd"/>
            <w:r>
              <w:rPr>
                <w:sz w:val="20"/>
                <w:szCs w:val="20"/>
                <w:lang w:val="es-ES"/>
              </w:rPr>
              <w:t>Preskorn, 1996)</w:t>
            </w:r>
          </w:p>
        </w:tc>
      </w:tr>
    </w:tbl>
    <w:p w14:paraId="60FF37F2" w14:textId="77777777" w:rsidR="00D106AD" w:rsidRDefault="00D106AD" w:rsidP="00D106AD">
      <w:pPr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A1239B9" w14:textId="77777777" w:rsidR="00D106AD" w:rsidRDefault="00D106AD" w:rsidP="00D106AD">
      <w:pPr>
        <w:pStyle w:val="Ttulo1"/>
        <w:rPr>
          <w:rFonts w:ascii="Calibri Light" w:eastAsia="Times New Roman" w:hAnsi="Calibri Light" w:cs="Calibri Light"/>
          <w:lang w:val="es-ES"/>
        </w:rPr>
      </w:pPr>
      <w:r>
        <w:rPr>
          <w:rFonts w:eastAsia="Times New Roman"/>
          <w:lang w:val="es-ES"/>
        </w:rPr>
        <w:t>Referencias y bibliografía</w:t>
      </w:r>
    </w:p>
    <w:p w14:paraId="683D3CE1" w14:textId="77777777" w:rsidR="00D106AD" w:rsidRPr="000215D1" w:rsidRDefault="00D106AD" w:rsidP="00D106AD">
      <w:pPr>
        <w:numPr>
          <w:ilvl w:val="0"/>
          <w:numId w:val="1"/>
        </w:numPr>
        <w:spacing w:line="256" w:lineRule="auto"/>
        <w:rPr>
          <w:rFonts w:eastAsia="Times New Roman"/>
        </w:rPr>
      </w:pPr>
      <w:r w:rsidRPr="000215D1">
        <w:rPr>
          <w:rFonts w:eastAsia="Times New Roman"/>
        </w:rPr>
        <w:t>Baldwin, D. S., Aitchison, K., Bateson, A., Curran, H. V., Davies, S., Leonard, B., ... &amp; Wilson, S. (2014). Benzodiazepines: risks and benefits. A reconsideration. Journal of Psychopharmacology, 28(11), 967-971.</w:t>
      </w:r>
    </w:p>
    <w:p w14:paraId="1055794E" w14:textId="77777777" w:rsidR="00D106AD" w:rsidRDefault="00D106AD" w:rsidP="00D106AD">
      <w:pPr>
        <w:numPr>
          <w:ilvl w:val="0"/>
          <w:numId w:val="1"/>
        </w:numPr>
        <w:spacing w:line="256" w:lineRule="auto"/>
        <w:rPr>
          <w:rFonts w:eastAsia="Times New Roman"/>
          <w:lang w:val="es-ES"/>
        </w:rPr>
      </w:pPr>
      <w:r w:rsidRPr="000215D1">
        <w:rPr>
          <w:rFonts w:eastAsia="Times New Roman"/>
        </w:rPr>
        <w:t xml:space="preserve">Brunton, L. L., Hilal-Dandan, R., &amp; Knollmann, B. C. (2018). </w:t>
      </w:r>
      <w:r>
        <w:rPr>
          <w:rFonts w:eastAsia="Times New Roman"/>
          <w:lang w:val="es-ES"/>
        </w:rPr>
        <w:t>Goodman &amp; Gilman's: Las bases farmacológicas de la terapéutica (13ª ed.). McGraw-Hill Education.</w:t>
      </w:r>
    </w:p>
    <w:p w14:paraId="3A1B5896" w14:textId="77777777" w:rsidR="00D106AD" w:rsidRDefault="00D106AD" w:rsidP="00D106AD">
      <w:pPr>
        <w:numPr>
          <w:ilvl w:val="0"/>
          <w:numId w:val="1"/>
        </w:numPr>
        <w:spacing w:line="256" w:lineRule="auto"/>
        <w:rPr>
          <w:rFonts w:eastAsia="Times New Roman"/>
          <w:lang w:val="es-ES"/>
        </w:rPr>
      </w:pPr>
      <w:r w:rsidRPr="000215D1">
        <w:rPr>
          <w:rFonts w:eastAsia="Times New Roman"/>
        </w:rPr>
        <w:t xml:space="preserve">Carhart-Harris, R. L., Bolstridge, M., Rucker, J., Day, C. M., Erritzoe, D., Kaelen, M., ... &amp; Nutt, D. J. (2018). Psilocybin with psychological support for treatment-resistant depression: six-month follow-up. </w:t>
      </w:r>
      <w:r>
        <w:rPr>
          <w:rFonts w:eastAsia="Times New Roman"/>
          <w:lang w:val="es-ES"/>
        </w:rPr>
        <w:t>Psychopharmacology, 235, 399-408.</w:t>
      </w:r>
    </w:p>
    <w:p w14:paraId="4622559F" w14:textId="77777777" w:rsidR="00D106AD" w:rsidRDefault="00D106AD" w:rsidP="00D106AD">
      <w:pPr>
        <w:numPr>
          <w:ilvl w:val="0"/>
          <w:numId w:val="1"/>
        </w:numPr>
        <w:spacing w:line="256" w:lineRule="auto"/>
        <w:rPr>
          <w:rFonts w:eastAsia="Times New Roman"/>
          <w:lang w:val="es-ES"/>
        </w:rPr>
      </w:pPr>
      <w:r w:rsidRPr="000215D1">
        <w:rPr>
          <w:rFonts w:eastAsia="Times New Roman"/>
        </w:rPr>
        <w:t xml:space="preserve">Cipriani, A., Furukawa, T. A., Salanti, G., Chaimani, A., Atkinson, L. Z., Ogawa, Y., ... &amp; Geddes, J. R. (2018). Comparative efficacy and acceptability of 21 antidepressant drugs for the acute treatment of adults with major depressive disorder: a systematic review and network meta-analysis. </w:t>
      </w:r>
      <w:r>
        <w:rPr>
          <w:rFonts w:eastAsia="Times New Roman"/>
          <w:lang w:val="es-ES"/>
        </w:rPr>
        <w:t>The Lancet, 391(10128), 1357-1366.</w:t>
      </w:r>
    </w:p>
    <w:p w14:paraId="2E3B9A84" w14:textId="77777777" w:rsidR="00D106AD" w:rsidRDefault="00D106AD" w:rsidP="00D106AD">
      <w:pPr>
        <w:numPr>
          <w:ilvl w:val="0"/>
          <w:numId w:val="1"/>
        </w:numPr>
        <w:spacing w:line="256" w:lineRule="auto"/>
        <w:rPr>
          <w:rFonts w:eastAsia="Times New Roman"/>
          <w:lang w:val="es-ES"/>
        </w:rPr>
      </w:pPr>
      <w:r w:rsidRPr="000215D1">
        <w:rPr>
          <w:rFonts w:eastAsia="Times New Roman"/>
        </w:rPr>
        <w:lastRenderedPageBreak/>
        <w:t xml:space="preserve">Davis, A. K., Barrett, F. S., May, D. G., Cosimano, M. P., Sepeda, N. D., Johnson, M. W., ... &amp; Griffiths, R. R. (2021). Effects of psilocybin-assisted therapy on major depressive disorder: A randomized clinical trial. </w:t>
      </w:r>
      <w:r>
        <w:rPr>
          <w:rFonts w:eastAsia="Times New Roman"/>
          <w:lang w:val="es-ES"/>
        </w:rPr>
        <w:t>JAMA Psychiatry, 78(5), 481-489.</w:t>
      </w:r>
    </w:p>
    <w:p w14:paraId="3FA3870E" w14:textId="77777777" w:rsidR="00D106AD" w:rsidRDefault="00D106AD" w:rsidP="00D106AD">
      <w:pPr>
        <w:numPr>
          <w:ilvl w:val="0"/>
          <w:numId w:val="1"/>
        </w:numPr>
        <w:spacing w:line="256" w:lineRule="auto"/>
        <w:rPr>
          <w:rFonts w:eastAsia="Times New Roman"/>
          <w:lang w:val="es-ES"/>
        </w:rPr>
      </w:pPr>
      <w:r w:rsidRPr="000215D1">
        <w:rPr>
          <w:rFonts w:eastAsia="Times New Roman"/>
        </w:rPr>
        <w:t xml:space="preserve">Griffiths, R. R., Johnson, M. W., Carducci, M. A., Umbricht, A., Richards, W. A., Richards, B. D., ... &amp; Klinedinst, M. A. (2016). Psilocybin produces substantial and sustained decreases in depression and anxiety in patients with life-threatening cancer: A randomized double-blind trial. </w:t>
      </w:r>
      <w:r>
        <w:rPr>
          <w:rFonts w:eastAsia="Times New Roman"/>
          <w:lang w:val="es-ES"/>
        </w:rPr>
        <w:t>Journal of Psychopharmacology, 30(12), 1181-1197.</w:t>
      </w:r>
    </w:p>
    <w:p w14:paraId="7F80FA66" w14:textId="77777777" w:rsidR="00D106AD" w:rsidRDefault="00D106AD" w:rsidP="00D106AD">
      <w:pPr>
        <w:numPr>
          <w:ilvl w:val="0"/>
          <w:numId w:val="1"/>
        </w:numPr>
        <w:spacing w:line="256" w:lineRule="auto"/>
        <w:rPr>
          <w:rFonts w:eastAsia="Times New Roman"/>
          <w:lang w:val="es-ES"/>
        </w:rPr>
      </w:pPr>
      <w:r w:rsidRPr="000215D1">
        <w:rPr>
          <w:rFonts w:eastAsia="Times New Roman"/>
        </w:rPr>
        <w:t xml:space="preserve">Hasler, F., Bourquin, D., Brenneisen, R., Bär, T., &amp; Vollenweider, F. X. (1997). Determination of psilocin and 4‐hydroxyindole‐3‐acetic acid in plasma by HPLC–ECD and pharmacokinetics of oral psilocybin in man. </w:t>
      </w:r>
      <w:r>
        <w:rPr>
          <w:rFonts w:eastAsia="Times New Roman"/>
          <w:lang w:val="es-ES"/>
        </w:rPr>
        <w:t>Pharmaceutica Acta Helvetiae, 72(3), 175-184.</w:t>
      </w:r>
    </w:p>
    <w:p w14:paraId="121324DA" w14:textId="77777777" w:rsidR="00D106AD" w:rsidRDefault="00D106AD" w:rsidP="00D106AD">
      <w:pPr>
        <w:numPr>
          <w:ilvl w:val="0"/>
          <w:numId w:val="1"/>
        </w:numPr>
        <w:spacing w:line="256" w:lineRule="auto"/>
        <w:rPr>
          <w:rFonts w:eastAsia="Times New Roman"/>
          <w:lang w:val="es-ES"/>
        </w:rPr>
      </w:pPr>
      <w:r w:rsidRPr="000215D1">
        <w:rPr>
          <w:rFonts w:eastAsia="Times New Roman"/>
        </w:rPr>
        <w:t xml:space="preserve">Preskorn, S. H. (1996). Clinically relevant pharmacology of selective serotonin reuptake inhibitors. </w:t>
      </w:r>
      <w:r>
        <w:rPr>
          <w:rFonts w:eastAsia="Times New Roman"/>
          <w:lang w:val="es-ES"/>
        </w:rPr>
        <w:t>Clinical Pharmacokinetics, 31(6), 450-471.</w:t>
      </w:r>
    </w:p>
    <w:p w14:paraId="0379742C" w14:textId="77777777" w:rsidR="00D106AD" w:rsidRDefault="00D106AD" w:rsidP="00D106AD">
      <w:pPr>
        <w:numPr>
          <w:ilvl w:val="0"/>
          <w:numId w:val="1"/>
        </w:numPr>
        <w:spacing w:line="256" w:lineRule="auto"/>
        <w:rPr>
          <w:rFonts w:eastAsia="Times New Roman"/>
          <w:lang w:val="es-ES"/>
        </w:rPr>
      </w:pPr>
      <w:r w:rsidRPr="000215D1">
        <w:rPr>
          <w:rFonts w:eastAsia="Times New Roman"/>
        </w:rPr>
        <w:t xml:space="preserve">Schatzberg, A. F., Cole, J. O., &amp; DeBattista, C. (2010). </w:t>
      </w:r>
      <w:r>
        <w:rPr>
          <w:rFonts w:eastAsia="Times New Roman"/>
          <w:lang w:val="es-ES"/>
        </w:rPr>
        <w:t>Manual de psicofarmacología esencial. Wolters Kluwer.</w:t>
      </w:r>
    </w:p>
    <w:p w14:paraId="656A7F91" w14:textId="77777777" w:rsidR="00D106AD" w:rsidRDefault="00D106AD" w:rsidP="00D106AD">
      <w:pPr>
        <w:numPr>
          <w:ilvl w:val="0"/>
          <w:numId w:val="1"/>
        </w:numPr>
        <w:spacing w:line="256" w:lineRule="auto"/>
        <w:rPr>
          <w:rFonts w:eastAsia="Times New Roman"/>
          <w:lang w:val="es-ES"/>
        </w:rPr>
      </w:pPr>
      <w:r w:rsidRPr="000215D1">
        <w:rPr>
          <w:rFonts w:eastAsia="Times New Roman"/>
        </w:rPr>
        <w:t xml:space="preserve">Stahl, S. M. (2013). Stahl’s Essential Psychopharmacology (4th ed.). </w:t>
      </w:r>
      <w:r>
        <w:rPr>
          <w:rFonts w:eastAsia="Times New Roman"/>
          <w:lang w:val="es-ES"/>
        </w:rPr>
        <w:t>Cambridge University Press.</w:t>
      </w:r>
    </w:p>
    <w:p w14:paraId="41ACD7BC" w14:textId="77777777" w:rsidR="00D106AD" w:rsidRDefault="00D106AD" w:rsidP="00D106AD">
      <w:pPr>
        <w:numPr>
          <w:ilvl w:val="0"/>
          <w:numId w:val="1"/>
        </w:numPr>
        <w:spacing w:line="256" w:lineRule="auto"/>
        <w:rPr>
          <w:rFonts w:eastAsia="Times New Roman"/>
          <w:lang w:val="es-ES"/>
        </w:rPr>
      </w:pPr>
      <w:r w:rsidRPr="000215D1">
        <w:rPr>
          <w:rFonts w:eastAsia="Times New Roman"/>
        </w:rPr>
        <w:t xml:space="preserve">Vollenweider, F. X., &amp; Kometer, M. (2010). The neurobiology of psychedelic drugs: implications for the treatment of mood disorders. </w:t>
      </w:r>
      <w:r>
        <w:rPr>
          <w:rFonts w:eastAsia="Times New Roman"/>
          <w:lang w:val="es-ES"/>
        </w:rPr>
        <w:t>Nature Reviews Neuroscience, 11(9), 642-651.</w:t>
      </w:r>
    </w:p>
    <w:p w14:paraId="0A41540F" w14:textId="77777777" w:rsidR="004E3C30" w:rsidRDefault="004E3C30"/>
    <w:sectPr w:rsidR="004E3C30" w:rsidSect="00D10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64256"/>
    <w:multiLevelType w:val="multilevel"/>
    <w:tmpl w:val="595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559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B6"/>
    <w:rsid w:val="00421CB6"/>
    <w:rsid w:val="004E3C30"/>
    <w:rsid w:val="009305E2"/>
    <w:rsid w:val="0097403E"/>
    <w:rsid w:val="00D1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18899"/>
  <w15:chartTrackingRefBased/>
  <w15:docId w15:val="{045F92C2-67AA-4CD2-83E7-F24145A5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6AD"/>
  </w:style>
  <w:style w:type="paragraph" w:styleId="Ttulo1">
    <w:name w:val="heading 1"/>
    <w:basedOn w:val="Normal"/>
    <w:next w:val="Normal"/>
    <w:link w:val="Ttulo1Car"/>
    <w:uiPriority w:val="9"/>
    <w:qFormat/>
    <w:rsid w:val="0042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C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C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C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C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C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C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C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C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C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C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628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2</cp:revision>
  <dcterms:created xsi:type="dcterms:W3CDTF">2026-04-01T00:31:00Z</dcterms:created>
  <dcterms:modified xsi:type="dcterms:W3CDTF">2026-04-01T00:33:00Z</dcterms:modified>
</cp:coreProperties>
</file>