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843"/>
        <w:gridCol w:w="4130"/>
      </w:tblGrid>
      <w:tr w:rsidR="001A6260" w:rsidRPr="001A6260" w14:paraId="3D9AE046" w14:textId="77777777">
        <w:tc>
          <w:tcPr>
            <w:tcW w:w="0" w:type="auto"/>
            <w:hideMark/>
          </w:tcPr>
          <w:p w14:paraId="17F74E75" w14:textId="77777777" w:rsidR="001A6260" w:rsidRDefault="001A6260">
            <w:pPr>
              <w:spacing w:after="0" w:line="240" w:lineRule="auto"/>
              <w:rPr>
                <w:b/>
                <w:bCs/>
                <w:kern w:val="0"/>
                <w:lang w:val="es-ES"/>
                <w14:ligatures w14:val="none"/>
              </w:rPr>
            </w:pPr>
            <w:r>
              <w:rPr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hideMark/>
          </w:tcPr>
          <w:p w14:paraId="0589A910" w14:textId="77777777" w:rsidR="001A6260" w:rsidRDefault="001A626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Psilocibina</w:t>
            </w:r>
          </w:p>
        </w:tc>
        <w:tc>
          <w:tcPr>
            <w:tcW w:w="0" w:type="auto"/>
            <w:hideMark/>
          </w:tcPr>
          <w:p w14:paraId="0D277407" w14:textId="77777777" w:rsidR="001A6260" w:rsidRDefault="001A626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Fármacos actuales (ISRS, benzodiacepinas, etc.)</w:t>
            </w:r>
          </w:p>
        </w:tc>
      </w:tr>
      <w:tr w:rsidR="001A6260" w:rsidRPr="001A6260" w14:paraId="6D3F4933" w14:textId="77777777">
        <w:tc>
          <w:tcPr>
            <w:tcW w:w="0" w:type="auto"/>
            <w:shd w:val="clear" w:color="auto" w:fill="F2F2F2"/>
            <w:hideMark/>
          </w:tcPr>
          <w:p w14:paraId="799AABF4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Mecanismo de acción</w:t>
            </w:r>
          </w:p>
        </w:tc>
        <w:tc>
          <w:tcPr>
            <w:tcW w:w="0" w:type="auto"/>
            <w:shd w:val="clear" w:color="auto" w:fill="F2F2F2"/>
            <w:hideMark/>
          </w:tcPr>
          <w:p w14:paraId="3DC39744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Actúa sobre receptores de serotonina (principalmente 5-HT2A), promoviendo cambios en la percepción, cognición y </w:t>
            </w:r>
            <w:proofErr w:type="spellStart"/>
            <w:proofErr w:type="gramStart"/>
            <w:r>
              <w:rPr>
                <w:lang w:val="es-ES"/>
              </w:rPr>
              <w:t>emociones.</w:t>
            </w:r>
            <w:r>
              <w:rPr>
                <w:i/>
                <w:iCs/>
                <w:sz w:val="15"/>
                <w:szCs w:val="15"/>
                <w:lang w:val="es-ES"/>
              </w:rPr>
              <w:t>Carhart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>-Harris et al., 2021</w:t>
            </w:r>
          </w:p>
        </w:tc>
        <w:tc>
          <w:tcPr>
            <w:tcW w:w="0" w:type="auto"/>
            <w:shd w:val="clear" w:color="auto" w:fill="F2F2F2"/>
            <w:hideMark/>
          </w:tcPr>
          <w:p w14:paraId="138EEDA3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Modulan neurotransmisores como serotonina, norepinefrina y GABA para regular el estado de ánimo y la </w:t>
            </w:r>
            <w:proofErr w:type="spellStart"/>
            <w:proofErr w:type="gramStart"/>
            <w:r>
              <w:rPr>
                <w:lang w:val="es-ES"/>
              </w:rPr>
              <w:t>ansiedad.</w:t>
            </w:r>
            <w:r>
              <w:rPr>
                <w:i/>
                <w:iCs/>
                <w:sz w:val="15"/>
                <w:szCs w:val="15"/>
                <w:lang w:val="es-ES"/>
              </w:rPr>
              <w:t>American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  <w:lang w:val="es-ES"/>
              </w:rPr>
              <w:t>Psychiatric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  <w:lang w:val="es-ES"/>
              </w:rPr>
              <w:t>Association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>, 2020</w:t>
            </w:r>
          </w:p>
        </w:tc>
      </w:tr>
      <w:tr w:rsidR="001A6260" w:rsidRPr="001A6260" w14:paraId="321D2E7A" w14:textId="77777777">
        <w:tc>
          <w:tcPr>
            <w:tcW w:w="0" w:type="auto"/>
            <w:hideMark/>
          </w:tcPr>
          <w:p w14:paraId="2FE81234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Duración del tratamiento</w:t>
            </w:r>
          </w:p>
        </w:tc>
        <w:tc>
          <w:tcPr>
            <w:tcW w:w="0" w:type="auto"/>
            <w:hideMark/>
          </w:tcPr>
          <w:p w14:paraId="750F2549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Generalmente, se administra en 1-3 sesiones supervisadas con acompañamiento </w:t>
            </w:r>
            <w:proofErr w:type="spellStart"/>
            <w:proofErr w:type="gramStart"/>
            <w:r>
              <w:rPr>
                <w:lang w:val="es-ES"/>
              </w:rPr>
              <w:t>terapéutico.</w:t>
            </w:r>
            <w:r>
              <w:rPr>
                <w:i/>
                <w:iCs/>
                <w:sz w:val="15"/>
                <w:szCs w:val="15"/>
                <w:lang w:val="es-ES"/>
              </w:rPr>
              <w:t>Goodwin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 xml:space="preserve"> et al., 2022</w:t>
            </w:r>
          </w:p>
        </w:tc>
        <w:tc>
          <w:tcPr>
            <w:tcW w:w="0" w:type="auto"/>
            <w:hideMark/>
          </w:tcPr>
          <w:p w14:paraId="61165DE6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Tratamiento continuo, diario por meses o </w:t>
            </w:r>
            <w:proofErr w:type="spellStart"/>
            <w:proofErr w:type="gramStart"/>
            <w:r>
              <w:rPr>
                <w:lang w:val="es-ES"/>
              </w:rPr>
              <w:t>años.</w:t>
            </w:r>
            <w:r>
              <w:rPr>
                <w:i/>
                <w:iCs/>
                <w:sz w:val="15"/>
                <w:szCs w:val="15"/>
                <w:lang w:val="es-ES"/>
              </w:rPr>
              <w:t>NICE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>, 2022</w:t>
            </w:r>
          </w:p>
        </w:tc>
      </w:tr>
      <w:tr w:rsidR="001A6260" w:rsidRPr="001A6260" w14:paraId="2736F50C" w14:textId="77777777">
        <w:tc>
          <w:tcPr>
            <w:tcW w:w="0" w:type="auto"/>
            <w:shd w:val="clear" w:color="auto" w:fill="F2F2F2"/>
            <w:hideMark/>
          </w:tcPr>
          <w:p w14:paraId="248CC3B5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Eficacia clínica</w:t>
            </w:r>
          </w:p>
        </w:tc>
        <w:tc>
          <w:tcPr>
            <w:tcW w:w="0" w:type="auto"/>
            <w:shd w:val="clear" w:color="auto" w:fill="F2F2F2"/>
            <w:hideMark/>
          </w:tcPr>
          <w:p w14:paraId="473CB1DF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Estudios recientes muestran mejoría significativa y rápida en síntomas de depresión y ansiedad, incluso en casos </w:t>
            </w:r>
            <w:proofErr w:type="spellStart"/>
            <w:proofErr w:type="gramStart"/>
            <w:r>
              <w:rPr>
                <w:lang w:val="es-ES"/>
              </w:rPr>
              <w:t>resistentes.</w:t>
            </w:r>
            <w:r>
              <w:rPr>
                <w:i/>
                <w:iCs/>
                <w:sz w:val="15"/>
                <w:szCs w:val="15"/>
                <w:lang w:val="es-ES"/>
              </w:rPr>
              <w:t>Carhart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>-Harris et al., 2021; Goodwin et al., 2022</w:t>
            </w:r>
          </w:p>
        </w:tc>
        <w:tc>
          <w:tcPr>
            <w:tcW w:w="0" w:type="auto"/>
            <w:shd w:val="clear" w:color="auto" w:fill="F2F2F2"/>
            <w:hideMark/>
          </w:tcPr>
          <w:p w14:paraId="7E809DE9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Mejoría gradual; algunos pacientes no responden o presentan recaídas </w:t>
            </w:r>
            <w:proofErr w:type="spellStart"/>
            <w:proofErr w:type="gramStart"/>
            <w:r>
              <w:rPr>
                <w:lang w:val="es-ES"/>
              </w:rPr>
              <w:t>frecuentes.</w:t>
            </w:r>
            <w:r>
              <w:rPr>
                <w:i/>
                <w:iCs/>
                <w:sz w:val="15"/>
                <w:szCs w:val="15"/>
                <w:lang w:val="es-ES"/>
              </w:rPr>
              <w:t>NICE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>, 2022</w:t>
            </w:r>
          </w:p>
        </w:tc>
      </w:tr>
      <w:tr w:rsidR="001A6260" w:rsidRPr="001A6260" w14:paraId="6D478EF7" w14:textId="77777777">
        <w:tc>
          <w:tcPr>
            <w:tcW w:w="0" w:type="auto"/>
            <w:hideMark/>
          </w:tcPr>
          <w:p w14:paraId="02639B83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Efectos secundarios</w:t>
            </w:r>
          </w:p>
        </w:tc>
        <w:tc>
          <w:tcPr>
            <w:tcW w:w="0" w:type="auto"/>
            <w:hideMark/>
          </w:tcPr>
          <w:p w14:paraId="4251B560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Posibles alteraciones sensoriales agudas, ansiedad transitoria durante la sesión; bajo riesgo de </w:t>
            </w:r>
            <w:proofErr w:type="spellStart"/>
            <w:proofErr w:type="gramStart"/>
            <w:r>
              <w:rPr>
                <w:lang w:val="es-ES"/>
              </w:rPr>
              <w:t>dependencia.</w:t>
            </w:r>
            <w:r>
              <w:rPr>
                <w:i/>
                <w:iCs/>
                <w:sz w:val="15"/>
                <w:szCs w:val="15"/>
                <w:lang w:val="es-ES"/>
              </w:rPr>
              <w:t>Johnson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 xml:space="preserve"> et al., 2020</w:t>
            </w:r>
          </w:p>
        </w:tc>
        <w:tc>
          <w:tcPr>
            <w:tcW w:w="0" w:type="auto"/>
            <w:hideMark/>
          </w:tcPr>
          <w:p w14:paraId="53A7F3FA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Pueden incluir somnolencia, disfunción sexual, aumento de peso, riesgo de dependencia (especialmente benzodiacepinas</w:t>
            </w:r>
            <w:proofErr w:type="gramStart"/>
            <w:r>
              <w:rPr>
                <w:lang w:val="es-ES"/>
              </w:rPr>
              <w:t>).</w:t>
            </w:r>
            <w:r>
              <w:rPr>
                <w:i/>
                <w:iCs/>
                <w:sz w:val="15"/>
                <w:szCs w:val="15"/>
                <w:lang w:val="es-ES"/>
              </w:rPr>
              <w:t>American</w:t>
            </w:r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  <w:lang w:val="es-ES"/>
              </w:rPr>
              <w:t>Psychiatric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  <w:lang w:val="es-ES"/>
              </w:rPr>
              <w:t>Association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>, 2020</w:t>
            </w:r>
          </w:p>
        </w:tc>
      </w:tr>
      <w:tr w:rsidR="001A6260" w:rsidRPr="001A6260" w14:paraId="231A3B99" w14:textId="77777777">
        <w:tc>
          <w:tcPr>
            <w:tcW w:w="0" w:type="auto"/>
            <w:shd w:val="clear" w:color="auto" w:fill="F2F2F2"/>
            <w:hideMark/>
          </w:tcPr>
          <w:p w14:paraId="6D448F11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Accesibilidad y regulación</w:t>
            </w:r>
          </w:p>
        </w:tc>
        <w:tc>
          <w:tcPr>
            <w:tcW w:w="0" w:type="auto"/>
            <w:shd w:val="clear" w:color="auto" w:fill="F2F2F2"/>
            <w:hideMark/>
          </w:tcPr>
          <w:p w14:paraId="7A316A65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Aún en fase experimental, uso restringido a ensayos clínicos en </w:t>
            </w:r>
            <w:proofErr w:type="spellStart"/>
            <w:r>
              <w:rPr>
                <w:lang w:val="es-ES"/>
              </w:rPr>
              <w:t>México.</w:t>
            </w:r>
            <w:r>
              <w:rPr>
                <w:i/>
                <w:iCs/>
                <w:sz w:val="15"/>
                <w:szCs w:val="15"/>
                <w:lang w:val="es-ES"/>
              </w:rPr>
              <w:t>Ministerio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 xml:space="preserve"> de Salud de México, 2024</w:t>
            </w:r>
          </w:p>
        </w:tc>
        <w:tc>
          <w:tcPr>
            <w:tcW w:w="0" w:type="auto"/>
            <w:shd w:val="clear" w:color="auto" w:fill="F2F2F2"/>
            <w:hideMark/>
          </w:tcPr>
          <w:p w14:paraId="54CBA232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Disponible en farmacias con receta médica; uso ampliamente </w:t>
            </w:r>
            <w:proofErr w:type="spellStart"/>
            <w:proofErr w:type="gramStart"/>
            <w:r>
              <w:rPr>
                <w:lang w:val="es-ES"/>
              </w:rPr>
              <w:t>aceptado.</w:t>
            </w:r>
            <w:r>
              <w:rPr>
                <w:i/>
                <w:iCs/>
                <w:sz w:val="15"/>
                <w:szCs w:val="15"/>
                <w:lang w:val="es-ES"/>
              </w:rPr>
              <w:t>American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  <w:lang w:val="es-ES"/>
              </w:rPr>
              <w:t>Psychiatric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sz w:val="15"/>
                <w:szCs w:val="15"/>
                <w:lang w:val="es-ES"/>
              </w:rPr>
              <w:t>Association</w:t>
            </w:r>
            <w:proofErr w:type="spellEnd"/>
            <w:r>
              <w:rPr>
                <w:i/>
                <w:iCs/>
                <w:sz w:val="15"/>
                <w:szCs w:val="15"/>
                <w:lang w:val="es-ES"/>
              </w:rPr>
              <w:t>, 2020</w:t>
            </w:r>
          </w:p>
        </w:tc>
      </w:tr>
      <w:tr w:rsidR="001A6260" w:rsidRPr="001A6260" w14:paraId="7BE137BE" w14:textId="77777777">
        <w:tc>
          <w:tcPr>
            <w:tcW w:w="0" w:type="auto"/>
            <w:hideMark/>
          </w:tcPr>
          <w:p w14:paraId="406D117B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Soporte terapéutico</w:t>
            </w:r>
          </w:p>
        </w:tc>
        <w:tc>
          <w:tcPr>
            <w:tcW w:w="0" w:type="auto"/>
            <w:hideMark/>
          </w:tcPr>
          <w:p w14:paraId="33447EAA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Requiere acompañamiento psicoterapéutico profesional durante y después del </w:t>
            </w:r>
            <w:proofErr w:type="spellStart"/>
            <w:proofErr w:type="gramStart"/>
            <w:r>
              <w:rPr>
                <w:lang w:val="es-ES"/>
              </w:rPr>
              <w:t>consumo.</w:t>
            </w:r>
            <w:r>
              <w:rPr>
                <w:i/>
                <w:iCs/>
                <w:sz w:val="15"/>
                <w:szCs w:val="15"/>
                <w:lang w:val="es-ES"/>
              </w:rPr>
              <w:t>Johnson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 xml:space="preserve"> et al., 2020</w:t>
            </w:r>
          </w:p>
        </w:tc>
        <w:tc>
          <w:tcPr>
            <w:tcW w:w="0" w:type="auto"/>
            <w:hideMark/>
          </w:tcPr>
          <w:p w14:paraId="65BC1792" w14:textId="77777777" w:rsidR="001A6260" w:rsidRDefault="001A626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Generalmente se prescribe junto con o sin </w:t>
            </w:r>
            <w:proofErr w:type="spellStart"/>
            <w:proofErr w:type="gramStart"/>
            <w:r>
              <w:rPr>
                <w:lang w:val="es-ES"/>
              </w:rPr>
              <w:t>psicoterapia.</w:t>
            </w:r>
            <w:r>
              <w:rPr>
                <w:i/>
                <w:iCs/>
                <w:sz w:val="15"/>
                <w:szCs w:val="15"/>
                <w:lang w:val="es-ES"/>
              </w:rPr>
              <w:t>NICE</w:t>
            </w:r>
            <w:proofErr w:type="spellEnd"/>
            <w:proofErr w:type="gramEnd"/>
            <w:r>
              <w:rPr>
                <w:i/>
                <w:iCs/>
                <w:sz w:val="15"/>
                <w:szCs w:val="15"/>
                <w:lang w:val="es-ES"/>
              </w:rPr>
              <w:t>, 2022</w:t>
            </w:r>
          </w:p>
        </w:tc>
      </w:tr>
    </w:tbl>
    <w:p w14:paraId="0A246FF5" w14:textId="77777777" w:rsidR="001A6260" w:rsidRDefault="001A6260">
      <w:pPr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2E7CE44" w14:textId="77777777" w:rsidR="001A6260" w:rsidRDefault="001A6260">
      <w:pPr>
        <w:pStyle w:val="Ttulo1"/>
        <w:rPr>
          <w:rFonts w:ascii="Calibri Light" w:eastAsia="Times New Roman" w:hAnsi="Calibri Light" w:cs="Calibri Light"/>
          <w:lang w:val="es-ES"/>
        </w:rPr>
      </w:pPr>
      <w:r>
        <w:rPr>
          <w:rFonts w:eastAsia="Times New Roman"/>
          <w:lang w:val="es-ES"/>
        </w:rPr>
        <w:t>Referencias y bibliografía</w:t>
      </w:r>
    </w:p>
    <w:p w14:paraId="01E0CC64" w14:textId="77777777" w:rsidR="001A6260" w:rsidRDefault="001A6260" w:rsidP="001A6260">
      <w:pPr>
        <w:numPr>
          <w:ilvl w:val="0"/>
          <w:numId w:val="16"/>
        </w:numPr>
        <w:spacing w:line="256" w:lineRule="auto"/>
        <w:rPr>
          <w:rFonts w:eastAsia="Times New Roman"/>
          <w:lang w:val="es-ES"/>
        </w:rPr>
      </w:pPr>
      <w:r w:rsidRPr="001A6260">
        <w:rPr>
          <w:rFonts w:eastAsia="Times New Roman"/>
        </w:rPr>
        <w:t xml:space="preserve">Carhart-Harris, R.L., et al. (2021). "Trial of Psilocybin versus Escitalopram in Depression". </w:t>
      </w:r>
      <w:r>
        <w:rPr>
          <w:rFonts w:eastAsia="Times New Roman"/>
          <w:i/>
          <w:iCs/>
          <w:lang w:val="es-ES"/>
        </w:rPr>
        <w:t xml:space="preserve">The New England </w:t>
      </w:r>
      <w:proofErr w:type="spellStart"/>
      <w:r>
        <w:rPr>
          <w:rFonts w:eastAsia="Times New Roman"/>
          <w:i/>
          <w:iCs/>
          <w:lang w:val="es-ES"/>
        </w:rPr>
        <w:t>Journal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of</w:t>
      </w:r>
      <w:proofErr w:type="spellEnd"/>
      <w:r>
        <w:rPr>
          <w:rFonts w:eastAsia="Times New Roman"/>
          <w:i/>
          <w:iCs/>
          <w:lang w:val="es-ES"/>
        </w:rPr>
        <w:t xml:space="preserve"> Medicine</w:t>
      </w:r>
      <w:r>
        <w:rPr>
          <w:rFonts w:eastAsia="Times New Roman"/>
          <w:lang w:val="es-ES"/>
        </w:rPr>
        <w:t>, 384(15), 1402-1411.</w:t>
      </w:r>
    </w:p>
    <w:p w14:paraId="280DC8F5" w14:textId="77777777" w:rsidR="001A6260" w:rsidRDefault="001A6260" w:rsidP="001A6260">
      <w:pPr>
        <w:numPr>
          <w:ilvl w:val="0"/>
          <w:numId w:val="16"/>
        </w:numPr>
        <w:spacing w:line="256" w:lineRule="auto"/>
        <w:rPr>
          <w:rFonts w:eastAsia="Times New Roman"/>
          <w:lang w:val="es-ES"/>
        </w:rPr>
      </w:pPr>
      <w:r w:rsidRPr="001A6260">
        <w:rPr>
          <w:rFonts w:eastAsia="Times New Roman"/>
        </w:rPr>
        <w:t xml:space="preserve">Goodwin, G.M., et al. (2022). "Psilocybin in Treatment-Resistant Depression: A Randomized Controlled Trial". </w:t>
      </w:r>
      <w:proofErr w:type="spellStart"/>
      <w:r>
        <w:rPr>
          <w:rFonts w:eastAsia="Times New Roman"/>
          <w:i/>
          <w:iCs/>
          <w:lang w:val="es-ES"/>
        </w:rPr>
        <w:t>Journal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of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Psychopharmacology</w:t>
      </w:r>
      <w:proofErr w:type="spellEnd"/>
      <w:r>
        <w:rPr>
          <w:rFonts w:eastAsia="Times New Roman"/>
          <w:lang w:val="es-ES"/>
        </w:rPr>
        <w:t>, 36(3), 247-259.</w:t>
      </w:r>
    </w:p>
    <w:p w14:paraId="33E3346D" w14:textId="77777777" w:rsidR="001A6260" w:rsidRDefault="001A6260" w:rsidP="001A6260">
      <w:pPr>
        <w:numPr>
          <w:ilvl w:val="0"/>
          <w:numId w:val="16"/>
        </w:numPr>
        <w:spacing w:line="256" w:lineRule="auto"/>
        <w:rPr>
          <w:rFonts w:eastAsia="Times New Roman"/>
          <w:lang w:val="es-ES"/>
        </w:rPr>
      </w:pPr>
      <w:r w:rsidRPr="001A6260">
        <w:rPr>
          <w:rFonts w:eastAsia="Times New Roman"/>
        </w:rPr>
        <w:t xml:space="preserve">Johnson, M.W., et al. (2020). "The Use of Psychedelics for Anxiety and Depression in Clinical Practice". </w:t>
      </w:r>
      <w:r>
        <w:rPr>
          <w:rFonts w:eastAsia="Times New Roman"/>
          <w:i/>
          <w:iCs/>
          <w:lang w:val="es-ES"/>
        </w:rPr>
        <w:t xml:space="preserve">Current </w:t>
      </w:r>
      <w:proofErr w:type="spellStart"/>
      <w:r>
        <w:rPr>
          <w:rFonts w:eastAsia="Times New Roman"/>
          <w:i/>
          <w:iCs/>
          <w:lang w:val="es-ES"/>
        </w:rPr>
        <w:t>Psychiatry</w:t>
      </w:r>
      <w:proofErr w:type="spellEnd"/>
      <w:r>
        <w:rPr>
          <w:rFonts w:eastAsia="Times New Roman"/>
          <w:i/>
          <w:iCs/>
          <w:lang w:val="es-ES"/>
        </w:rPr>
        <w:t xml:space="preserve"> </w:t>
      </w:r>
      <w:proofErr w:type="spellStart"/>
      <w:r>
        <w:rPr>
          <w:rFonts w:eastAsia="Times New Roman"/>
          <w:i/>
          <w:iCs/>
          <w:lang w:val="es-ES"/>
        </w:rPr>
        <w:t>Reports</w:t>
      </w:r>
      <w:proofErr w:type="spellEnd"/>
      <w:r>
        <w:rPr>
          <w:rFonts w:eastAsia="Times New Roman"/>
          <w:lang w:val="es-ES"/>
        </w:rPr>
        <w:t>, 22: 16.</w:t>
      </w:r>
    </w:p>
    <w:p w14:paraId="2E5F06C6" w14:textId="77777777" w:rsidR="001A6260" w:rsidRDefault="001A6260" w:rsidP="001A6260">
      <w:pPr>
        <w:numPr>
          <w:ilvl w:val="0"/>
          <w:numId w:val="16"/>
        </w:numPr>
        <w:spacing w:line="256" w:lineRule="auto"/>
        <w:rPr>
          <w:rFonts w:eastAsia="Times New Roman"/>
          <w:lang w:val="es-ES"/>
        </w:rPr>
      </w:pPr>
      <w:r w:rsidRPr="001A6260">
        <w:rPr>
          <w:rFonts w:eastAsia="Times New Roman"/>
        </w:rPr>
        <w:t xml:space="preserve">National Institute for Health and Care Excellence (NICE). (2022). "Depression in adults: treatment and management". </w:t>
      </w:r>
      <w:r>
        <w:rPr>
          <w:rFonts w:eastAsia="Times New Roman"/>
          <w:lang w:val="es-ES"/>
        </w:rPr>
        <w:t>Directrices clínicas.</w:t>
      </w:r>
    </w:p>
    <w:p w14:paraId="0E93B738" w14:textId="77777777" w:rsidR="001A6260" w:rsidRPr="001A6260" w:rsidRDefault="001A6260" w:rsidP="001A6260">
      <w:pPr>
        <w:numPr>
          <w:ilvl w:val="0"/>
          <w:numId w:val="16"/>
        </w:numPr>
        <w:spacing w:line="256" w:lineRule="auto"/>
        <w:rPr>
          <w:rFonts w:eastAsia="Times New Roman"/>
        </w:rPr>
      </w:pPr>
      <w:r w:rsidRPr="001A6260">
        <w:rPr>
          <w:rFonts w:eastAsia="Times New Roman"/>
        </w:rPr>
        <w:t>American Psychiatric Association. (2020). "Practice Guidelines for the Treatment of Patients with Major Depressive Disorder".</w:t>
      </w:r>
    </w:p>
    <w:p w14:paraId="53E8984A" w14:textId="77777777" w:rsidR="001A6260" w:rsidRDefault="001A6260" w:rsidP="001A6260">
      <w:pPr>
        <w:numPr>
          <w:ilvl w:val="0"/>
          <w:numId w:val="16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Ministerio de Salud de México. (2024). "Regulación de psicodélicos y medicamentos psiquiátricos". Documentos de acceso público.</w:t>
      </w:r>
    </w:p>
    <w:p w14:paraId="4E07820A" w14:textId="56356410" w:rsidR="004E3C30" w:rsidRPr="001A6260" w:rsidRDefault="004E3C30" w:rsidP="001A6260">
      <w:pPr>
        <w:rPr>
          <w:lang w:val="es-MX"/>
        </w:rPr>
      </w:pPr>
    </w:p>
    <w:sectPr w:rsidR="004E3C30" w:rsidRPr="001A6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606"/>
    <w:multiLevelType w:val="multilevel"/>
    <w:tmpl w:val="A17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1843"/>
    <w:multiLevelType w:val="multilevel"/>
    <w:tmpl w:val="FD1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D7793"/>
    <w:multiLevelType w:val="multilevel"/>
    <w:tmpl w:val="1A0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1BB6"/>
    <w:multiLevelType w:val="multilevel"/>
    <w:tmpl w:val="814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2C70"/>
    <w:multiLevelType w:val="multilevel"/>
    <w:tmpl w:val="0C1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E4B4E"/>
    <w:multiLevelType w:val="multilevel"/>
    <w:tmpl w:val="8C5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FB8"/>
    <w:multiLevelType w:val="multilevel"/>
    <w:tmpl w:val="8EC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628B9"/>
    <w:multiLevelType w:val="multilevel"/>
    <w:tmpl w:val="F86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B369A"/>
    <w:multiLevelType w:val="multilevel"/>
    <w:tmpl w:val="EC9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8697F"/>
    <w:multiLevelType w:val="multilevel"/>
    <w:tmpl w:val="10F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F3AF0"/>
    <w:multiLevelType w:val="multilevel"/>
    <w:tmpl w:val="70D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1427D"/>
    <w:multiLevelType w:val="multilevel"/>
    <w:tmpl w:val="02A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E7B3C"/>
    <w:multiLevelType w:val="multilevel"/>
    <w:tmpl w:val="102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B31A2"/>
    <w:multiLevelType w:val="multilevel"/>
    <w:tmpl w:val="C30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C39FD"/>
    <w:multiLevelType w:val="multilevel"/>
    <w:tmpl w:val="E1D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22059"/>
    <w:multiLevelType w:val="multilevel"/>
    <w:tmpl w:val="758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07185">
    <w:abstractNumId w:val="14"/>
  </w:num>
  <w:num w:numId="2" w16cid:durableId="1581909439">
    <w:abstractNumId w:val="10"/>
  </w:num>
  <w:num w:numId="3" w16cid:durableId="1133135303">
    <w:abstractNumId w:val="3"/>
  </w:num>
  <w:num w:numId="4" w16cid:durableId="1650986344">
    <w:abstractNumId w:val="6"/>
  </w:num>
  <w:num w:numId="5" w16cid:durableId="378628407">
    <w:abstractNumId w:val="15"/>
  </w:num>
  <w:num w:numId="6" w16cid:durableId="1938176872">
    <w:abstractNumId w:val="9"/>
  </w:num>
  <w:num w:numId="7" w16cid:durableId="2072458798">
    <w:abstractNumId w:val="8"/>
  </w:num>
  <w:num w:numId="8" w16cid:durableId="1717972462">
    <w:abstractNumId w:val="12"/>
  </w:num>
  <w:num w:numId="9" w16cid:durableId="1974092747">
    <w:abstractNumId w:val="0"/>
  </w:num>
  <w:num w:numId="10" w16cid:durableId="1692343264">
    <w:abstractNumId w:val="1"/>
  </w:num>
  <w:num w:numId="11" w16cid:durableId="1236164506">
    <w:abstractNumId w:val="7"/>
  </w:num>
  <w:num w:numId="12" w16cid:durableId="455221221">
    <w:abstractNumId w:val="4"/>
  </w:num>
  <w:num w:numId="13" w16cid:durableId="1552233917">
    <w:abstractNumId w:val="2"/>
  </w:num>
  <w:num w:numId="14" w16cid:durableId="1980839874">
    <w:abstractNumId w:val="5"/>
  </w:num>
  <w:num w:numId="15" w16cid:durableId="882250120">
    <w:abstractNumId w:val="11"/>
  </w:num>
  <w:num w:numId="16" w16cid:durableId="763652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0D"/>
    <w:rsid w:val="00145E0D"/>
    <w:rsid w:val="001A6260"/>
    <w:rsid w:val="00485235"/>
    <w:rsid w:val="004E3C30"/>
    <w:rsid w:val="009305E2"/>
    <w:rsid w:val="0097403E"/>
    <w:rsid w:val="00D0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5784"/>
  <w15:chartTrackingRefBased/>
  <w15:docId w15:val="{36EE9770-A904-4EB6-BDB2-64642708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E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E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E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E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E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E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E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380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4</cp:revision>
  <dcterms:created xsi:type="dcterms:W3CDTF">2026-04-01T00:34:00Z</dcterms:created>
  <dcterms:modified xsi:type="dcterms:W3CDTF">2026-04-01T00:38:00Z</dcterms:modified>
</cp:coreProperties>
</file>