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A92B" w14:textId="157A40E9" w:rsidR="001D1040" w:rsidRDefault="001D1040">
      <w:pPr>
        <w:pStyle w:val="Ttulo"/>
        <w:rPr>
          <w:kern w:val="0"/>
          <w:lang w:val="es-ES"/>
          <w14:ligatures w14:val="none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798"/>
        <w:gridCol w:w="2423"/>
        <w:gridCol w:w="2088"/>
      </w:tblGrid>
      <w:tr w:rsidR="001D1040" w14:paraId="33380361" w14:textId="77777777">
        <w:trPr>
          <w:tblCellSpacing w:w="15" w:type="dxa"/>
        </w:trPr>
        <w:tc>
          <w:tcPr>
            <w:tcW w:w="0" w:type="auto"/>
            <w:hideMark/>
          </w:tcPr>
          <w:p w14:paraId="0510D721" w14:textId="77777777" w:rsidR="001D1040" w:rsidRDefault="001D104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Tratamiento</w:t>
            </w:r>
          </w:p>
        </w:tc>
        <w:tc>
          <w:tcPr>
            <w:tcW w:w="0" w:type="auto"/>
            <w:hideMark/>
          </w:tcPr>
          <w:p w14:paraId="7219ADE1" w14:textId="77777777" w:rsidR="001D1040" w:rsidRDefault="001D104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Seguridad</w:t>
            </w:r>
          </w:p>
        </w:tc>
        <w:tc>
          <w:tcPr>
            <w:tcW w:w="0" w:type="auto"/>
            <w:hideMark/>
          </w:tcPr>
          <w:p w14:paraId="5E3086F9" w14:textId="77777777" w:rsidR="001D1040" w:rsidRDefault="001D104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Tolerabilidad</w:t>
            </w:r>
          </w:p>
        </w:tc>
        <w:tc>
          <w:tcPr>
            <w:tcW w:w="0" w:type="auto"/>
            <w:hideMark/>
          </w:tcPr>
          <w:p w14:paraId="06B6F094" w14:textId="77777777" w:rsidR="001D1040" w:rsidRDefault="001D1040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Efectos secundarios comunes</w:t>
            </w:r>
          </w:p>
        </w:tc>
      </w:tr>
      <w:tr w:rsidR="001D1040" w:rsidRPr="001D1040" w14:paraId="192B19B7" w14:textId="77777777">
        <w:trPr>
          <w:tblCellSpacing w:w="15" w:type="dxa"/>
        </w:trPr>
        <w:tc>
          <w:tcPr>
            <w:tcW w:w="0" w:type="auto"/>
            <w:shd w:val="clear" w:color="auto" w:fill="F2F2F2"/>
            <w:hideMark/>
          </w:tcPr>
          <w:p w14:paraId="06E68120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Psilocibina</w:t>
            </w:r>
          </w:p>
        </w:tc>
        <w:tc>
          <w:tcPr>
            <w:tcW w:w="0" w:type="auto"/>
            <w:shd w:val="clear" w:color="auto" w:fill="F2F2F2"/>
            <w:hideMark/>
          </w:tcPr>
          <w:p w14:paraId="53F456C8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Elevada en contextos clínicos controlados; requiere estricta supervisión médica para garantizar el bienestar de las personas participantes </w:t>
            </w:r>
            <w:r>
              <w:rPr>
                <w:vertAlign w:val="superscript"/>
                <w:lang w:val="es-ES"/>
              </w:rPr>
              <w:t>[1]</w:t>
            </w:r>
          </w:p>
        </w:tc>
        <w:tc>
          <w:tcPr>
            <w:tcW w:w="0" w:type="auto"/>
            <w:shd w:val="clear" w:color="auto" w:fill="F2F2F2"/>
            <w:hideMark/>
          </w:tcPr>
          <w:p w14:paraId="5FB20C4C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Por lo general, bien tolerada; los eventos adversos suelen ser transitorios y de corta duración </w:t>
            </w:r>
            <w:r>
              <w:rPr>
                <w:vertAlign w:val="superscript"/>
                <w:lang w:val="es-ES"/>
              </w:rPr>
              <w:t>[1],[2]</w:t>
            </w:r>
          </w:p>
        </w:tc>
        <w:tc>
          <w:tcPr>
            <w:tcW w:w="0" w:type="auto"/>
            <w:shd w:val="clear" w:color="auto" w:fill="F2F2F2"/>
            <w:hideMark/>
          </w:tcPr>
          <w:p w14:paraId="4C8EB10D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Náusea, ansiedad transitoria, alteraciones perceptuales, cefalea </w:t>
            </w:r>
            <w:r>
              <w:rPr>
                <w:vertAlign w:val="superscript"/>
                <w:lang w:val="es-ES"/>
              </w:rPr>
              <w:t>[1],[2]</w:t>
            </w:r>
          </w:p>
        </w:tc>
      </w:tr>
      <w:tr w:rsidR="001D1040" w:rsidRPr="001D1040" w14:paraId="51B4E521" w14:textId="77777777">
        <w:trPr>
          <w:tblCellSpacing w:w="15" w:type="dxa"/>
        </w:trPr>
        <w:tc>
          <w:tcPr>
            <w:tcW w:w="0" w:type="auto"/>
            <w:hideMark/>
          </w:tcPr>
          <w:p w14:paraId="25863ABA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ISRS (Inhibidores selectivos de la recaptación de serotonina)</w:t>
            </w:r>
          </w:p>
        </w:tc>
        <w:tc>
          <w:tcPr>
            <w:tcW w:w="0" w:type="auto"/>
            <w:hideMark/>
          </w:tcPr>
          <w:p w14:paraId="2987C2B8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Alta; riesgo de síndrome serotoninérgico cuando se combinan con otros medicamentos serotoninérgicos </w:t>
            </w:r>
            <w:r>
              <w:rPr>
                <w:vertAlign w:val="superscript"/>
                <w:lang w:val="es-ES"/>
              </w:rPr>
              <w:t>[3]</w:t>
            </w:r>
          </w:p>
        </w:tc>
        <w:tc>
          <w:tcPr>
            <w:tcW w:w="0" w:type="auto"/>
            <w:hideMark/>
          </w:tcPr>
          <w:p w14:paraId="5845DBD1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Bien tolerados en la mayoría de las personas; algunos presentan abandono del tratamiento por efectos secundarios </w:t>
            </w:r>
            <w:r>
              <w:rPr>
                <w:vertAlign w:val="superscript"/>
                <w:lang w:val="es-ES"/>
              </w:rPr>
              <w:t>[3],[4]</w:t>
            </w:r>
          </w:p>
        </w:tc>
        <w:tc>
          <w:tcPr>
            <w:tcW w:w="0" w:type="auto"/>
            <w:hideMark/>
          </w:tcPr>
          <w:p w14:paraId="0B0ECC00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Insomnio, disfunción sexual, aumento de peso, náusea </w:t>
            </w:r>
            <w:r>
              <w:rPr>
                <w:vertAlign w:val="superscript"/>
                <w:lang w:val="es-ES"/>
              </w:rPr>
              <w:t>[3],[4]</w:t>
            </w:r>
          </w:p>
        </w:tc>
      </w:tr>
      <w:tr w:rsidR="001D1040" w14:paraId="047B28EA" w14:textId="77777777">
        <w:trPr>
          <w:tblCellSpacing w:w="15" w:type="dxa"/>
        </w:trPr>
        <w:tc>
          <w:tcPr>
            <w:tcW w:w="0" w:type="auto"/>
            <w:shd w:val="clear" w:color="auto" w:fill="F2F2F2"/>
            <w:hideMark/>
          </w:tcPr>
          <w:p w14:paraId="23C7079E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IRSN (Inhibidores de recaptación de serotonina y noradrenalina)</w:t>
            </w:r>
          </w:p>
        </w:tc>
        <w:tc>
          <w:tcPr>
            <w:tcW w:w="0" w:type="auto"/>
            <w:shd w:val="clear" w:color="auto" w:fill="F2F2F2"/>
            <w:hideMark/>
          </w:tcPr>
          <w:p w14:paraId="257C1011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Alta; se recomienda monitoreo de presión arterial durante el tratamiento </w:t>
            </w:r>
            <w:r>
              <w:rPr>
                <w:vertAlign w:val="superscript"/>
                <w:lang w:val="es-ES"/>
              </w:rPr>
              <w:t>[4]</w:t>
            </w:r>
          </w:p>
        </w:tc>
        <w:tc>
          <w:tcPr>
            <w:tcW w:w="0" w:type="auto"/>
            <w:shd w:val="clear" w:color="auto" w:fill="F2F2F2"/>
            <w:hideMark/>
          </w:tcPr>
          <w:p w14:paraId="23812396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Similar a los ISRS; algunos efectos secundarios pueden ser más intensos </w:t>
            </w:r>
            <w:r>
              <w:rPr>
                <w:vertAlign w:val="superscript"/>
                <w:lang w:val="es-ES"/>
              </w:rPr>
              <w:t>[4]</w:t>
            </w:r>
          </w:p>
        </w:tc>
        <w:tc>
          <w:tcPr>
            <w:tcW w:w="0" w:type="auto"/>
            <w:shd w:val="clear" w:color="auto" w:fill="F2F2F2"/>
            <w:hideMark/>
          </w:tcPr>
          <w:p w14:paraId="2C3EE8F1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Sudoración, hipertensión, insomnio, náusea </w:t>
            </w:r>
            <w:r>
              <w:rPr>
                <w:vertAlign w:val="superscript"/>
                <w:lang w:val="es-ES"/>
              </w:rPr>
              <w:t>[4]</w:t>
            </w:r>
          </w:p>
        </w:tc>
      </w:tr>
      <w:tr w:rsidR="001D1040" w14:paraId="2824ACA7" w14:textId="77777777">
        <w:trPr>
          <w:tblCellSpacing w:w="15" w:type="dxa"/>
        </w:trPr>
        <w:tc>
          <w:tcPr>
            <w:tcW w:w="0" w:type="auto"/>
            <w:hideMark/>
          </w:tcPr>
          <w:p w14:paraId="03DD57CD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Benzodiacepinas</w:t>
            </w:r>
          </w:p>
        </w:tc>
        <w:tc>
          <w:tcPr>
            <w:tcW w:w="0" w:type="auto"/>
            <w:hideMark/>
          </w:tcPr>
          <w:p w14:paraId="5D7E0F30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Moderada; existe riesgo de dependencia, tolerancia y síndrome de abstinencia por uso prolongado </w:t>
            </w:r>
            <w:r>
              <w:rPr>
                <w:vertAlign w:val="superscript"/>
                <w:lang w:val="es-ES"/>
              </w:rPr>
              <w:t>[5]</w:t>
            </w:r>
          </w:p>
        </w:tc>
        <w:tc>
          <w:tcPr>
            <w:tcW w:w="0" w:type="auto"/>
            <w:hideMark/>
          </w:tcPr>
          <w:p w14:paraId="48199BB9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Toleradas a corto plazo; los efectos adversos se incrementan con el uso crónico </w:t>
            </w:r>
            <w:r>
              <w:rPr>
                <w:vertAlign w:val="superscript"/>
                <w:lang w:val="es-ES"/>
              </w:rPr>
              <w:t>[5]</w:t>
            </w:r>
          </w:p>
        </w:tc>
        <w:tc>
          <w:tcPr>
            <w:tcW w:w="0" w:type="auto"/>
            <w:hideMark/>
          </w:tcPr>
          <w:p w14:paraId="1977E8A4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Somnolencia, dependencia, confusión, caídas </w:t>
            </w:r>
            <w:r>
              <w:rPr>
                <w:vertAlign w:val="superscript"/>
                <w:lang w:val="es-ES"/>
              </w:rPr>
              <w:t>[5]</w:t>
            </w:r>
          </w:p>
        </w:tc>
      </w:tr>
      <w:tr w:rsidR="001D1040" w:rsidRPr="001D1040" w14:paraId="5F8FF765" w14:textId="77777777">
        <w:trPr>
          <w:tblCellSpacing w:w="15" w:type="dxa"/>
        </w:trPr>
        <w:tc>
          <w:tcPr>
            <w:tcW w:w="0" w:type="auto"/>
            <w:shd w:val="clear" w:color="auto" w:fill="F2F2F2"/>
            <w:hideMark/>
          </w:tcPr>
          <w:p w14:paraId="22004AAD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Terapia cognitivo-conductual (TCC)</w:t>
            </w:r>
          </w:p>
        </w:tc>
        <w:tc>
          <w:tcPr>
            <w:tcW w:w="0" w:type="auto"/>
            <w:shd w:val="clear" w:color="auto" w:fill="F2F2F2"/>
            <w:hideMark/>
          </w:tcPr>
          <w:p w14:paraId="003D97AF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Muy alta; se caracteriza por la ausencia de riesgos farmacológicos </w:t>
            </w:r>
            <w:r>
              <w:rPr>
                <w:vertAlign w:val="superscript"/>
                <w:lang w:val="es-ES"/>
              </w:rPr>
              <w:t>[6]</w:t>
            </w:r>
          </w:p>
        </w:tc>
        <w:tc>
          <w:tcPr>
            <w:tcW w:w="0" w:type="auto"/>
            <w:shd w:val="clear" w:color="auto" w:fill="F2F2F2"/>
            <w:hideMark/>
          </w:tcPr>
          <w:p w14:paraId="55F0B6F7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Generalmente bien tolerada; requiere compromiso y </w:t>
            </w:r>
            <w:proofErr w:type="gramStart"/>
            <w:r>
              <w:rPr>
                <w:lang w:val="es-ES"/>
              </w:rPr>
              <w:t>participación activa</w:t>
            </w:r>
            <w:proofErr w:type="gramEnd"/>
            <w:r>
              <w:rPr>
                <w:lang w:val="es-ES"/>
              </w:rPr>
              <w:t xml:space="preserve"> de las personas </w:t>
            </w:r>
            <w:r>
              <w:rPr>
                <w:vertAlign w:val="superscript"/>
                <w:lang w:val="es-ES"/>
              </w:rPr>
              <w:t>[6]</w:t>
            </w:r>
          </w:p>
        </w:tc>
        <w:tc>
          <w:tcPr>
            <w:tcW w:w="0" w:type="auto"/>
            <w:shd w:val="clear" w:color="auto" w:fill="F2F2F2"/>
            <w:hideMark/>
          </w:tcPr>
          <w:p w14:paraId="0EA809E3" w14:textId="77777777" w:rsidR="001D1040" w:rsidRDefault="001D1040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 aplica; ocasionalmente puede generar malestar emocional temporal </w:t>
            </w:r>
            <w:r>
              <w:rPr>
                <w:vertAlign w:val="superscript"/>
                <w:lang w:val="es-ES"/>
              </w:rPr>
              <w:t>[6]</w:t>
            </w:r>
          </w:p>
        </w:tc>
      </w:tr>
    </w:tbl>
    <w:p w14:paraId="3112C4CB" w14:textId="77777777" w:rsidR="001D1040" w:rsidRDefault="001D104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8147730" w14:textId="77777777" w:rsidR="001D1040" w:rsidRDefault="001D1040">
      <w:pPr>
        <w:pStyle w:val="Ttulo1"/>
        <w:rPr>
          <w:rFonts w:ascii="Calibri Light" w:eastAsia="Times New Roman" w:hAnsi="Calibri Light" w:cs="Calibri Light"/>
          <w:lang w:val="es-ES"/>
        </w:rPr>
      </w:pPr>
      <w:r>
        <w:rPr>
          <w:rFonts w:eastAsia="Times New Roman"/>
          <w:lang w:val="es-ES"/>
        </w:rPr>
        <w:t>Referencias y bibliografía</w:t>
      </w:r>
    </w:p>
    <w:p w14:paraId="042D454E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 w:rsidRPr="001D1040">
        <w:rPr>
          <w:rFonts w:eastAsia="Times New Roman"/>
        </w:rPr>
        <w:t xml:space="preserve">[1] Johnson, M., Richards, W., &amp; Griffiths, R. (2008). "Human hallucinogen research: guidelines for safety." </w:t>
      </w:r>
      <w:proofErr w:type="spellStart"/>
      <w:r>
        <w:rPr>
          <w:rFonts w:eastAsia="Times New Roman"/>
          <w:lang w:val="es-ES"/>
        </w:rPr>
        <w:t>Journal</w:t>
      </w:r>
      <w:proofErr w:type="spellEnd"/>
      <w:r>
        <w:rPr>
          <w:rFonts w:eastAsia="Times New Roman"/>
          <w:lang w:val="es-ES"/>
        </w:rPr>
        <w:t xml:space="preserve"> </w:t>
      </w:r>
      <w:proofErr w:type="spellStart"/>
      <w:r>
        <w:rPr>
          <w:rFonts w:eastAsia="Times New Roman"/>
          <w:lang w:val="es-ES"/>
        </w:rPr>
        <w:t>of</w:t>
      </w:r>
      <w:proofErr w:type="spellEnd"/>
      <w:r>
        <w:rPr>
          <w:rFonts w:eastAsia="Times New Roman"/>
          <w:lang w:val="es-ES"/>
        </w:rPr>
        <w:t xml:space="preserve"> </w:t>
      </w:r>
      <w:proofErr w:type="spellStart"/>
      <w:r>
        <w:rPr>
          <w:rFonts w:eastAsia="Times New Roman"/>
          <w:lang w:val="es-ES"/>
        </w:rPr>
        <w:t>Psychopharmacology</w:t>
      </w:r>
      <w:proofErr w:type="spellEnd"/>
      <w:r>
        <w:rPr>
          <w:rFonts w:eastAsia="Times New Roman"/>
          <w:lang w:val="es-ES"/>
        </w:rPr>
        <w:t>, 22(6), 603-620.</w:t>
      </w:r>
    </w:p>
    <w:p w14:paraId="57C88525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 w:rsidRPr="001D1040">
        <w:rPr>
          <w:rFonts w:eastAsia="Times New Roman"/>
        </w:rPr>
        <w:t xml:space="preserve">[2] Carhart-Harris, R.L., et al. (2021). "Trial of psilocybin versus escitalopram in major depressive disorder." </w:t>
      </w:r>
      <w:r>
        <w:rPr>
          <w:rFonts w:eastAsia="Times New Roman"/>
          <w:lang w:val="es-ES"/>
        </w:rPr>
        <w:t xml:space="preserve">New England </w:t>
      </w:r>
      <w:proofErr w:type="spellStart"/>
      <w:r>
        <w:rPr>
          <w:rFonts w:eastAsia="Times New Roman"/>
          <w:lang w:val="es-ES"/>
        </w:rPr>
        <w:t>Journal</w:t>
      </w:r>
      <w:proofErr w:type="spellEnd"/>
      <w:r>
        <w:rPr>
          <w:rFonts w:eastAsia="Times New Roman"/>
          <w:lang w:val="es-ES"/>
        </w:rPr>
        <w:t xml:space="preserve"> </w:t>
      </w:r>
      <w:proofErr w:type="spellStart"/>
      <w:r>
        <w:rPr>
          <w:rFonts w:eastAsia="Times New Roman"/>
          <w:lang w:val="es-ES"/>
        </w:rPr>
        <w:t>of</w:t>
      </w:r>
      <w:proofErr w:type="spellEnd"/>
      <w:r>
        <w:rPr>
          <w:rFonts w:eastAsia="Times New Roman"/>
          <w:lang w:val="es-ES"/>
        </w:rPr>
        <w:t xml:space="preserve"> Medicine, 384(15), 1402-1411.</w:t>
      </w:r>
    </w:p>
    <w:p w14:paraId="42A8C50B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 w:rsidRPr="001D1040">
        <w:rPr>
          <w:rFonts w:eastAsia="Times New Roman"/>
        </w:rPr>
        <w:t xml:space="preserve">[3] Cipriani, A., et al. (2018). "Comparative efficacy and acceptability of 21 antidepressant drugs for the treatment of depression in adults: a network meta-analysis." </w:t>
      </w:r>
      <w:r>
        <w:rPr>
          <w:rFonts w:eastAsia="Times New Roman"/>
          <w:lang w:val="es-ES"/>
        </w:rPr>
        <w:t>The Lancet, 391(10128), 1357-1366.</w:t>
      </w:r>
    </w:p>
    <w:p w14:paraId="5F9C0059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 w:rsidRPr="001D1040">
        <w:rPr>
          <w:rFonts w:eastAsia="Times New Roman"/>
        </w:rPr>
        <w:t xml:space="preserve">[4] </w:t>
      </w:r>
      <w:proofErr w:type="spellStart"/>
      <w:r w:rsidRPr="001D1040">
        <w:rPr>
          <w:rFonts w:eastAsia="Times New Roman"/>
        </w:rPr>
        <w:t>Gartlehner</w:t>
      </w:r>
      <w:proofErr w:type="spellEnd"/>
      <w:r w:rsidRPr="001D1040">
        <w:rPr>
          <w:rFonts w:eastAsia="Times New Roman"/>
        </w:rPr>
        <w:t xml:space="preserve">, G., et al. (2011). "Comparative benefits and harms of antidepressant, psychological, and combined treatments for major depression." </w:t>
      </w:r>
      <w:proofErr w:type="spellStart"/>
      <w:r>
        <w:rPr>
          <w:rFonts w:eastAsia="Times New Roman"/>
          <w:lang w:val="es-ES"/>
        </w:rPr>
        <w:t>Annals</w:t>
      </w:r>
      <w:proofErr w:type="spellEnd"/>
      <w:r>
        <w:rPr>
          <w:rFonts w:eastAsia="Times New Roman"/>
          <w:lang w:val="es-ES"/>
        </w:rPr>
        <w:t xml:space="preserve"> </w:t>
      </w:r>
      <w:proofErr w:type="spellStart"/>
      <w:r>
        <w:rPr>
          <w:rFonts w:eastAsia="Times New Roman"/>
          <w:lang w:val="es-ES"/>
        </w:rPr>
        <w:t>of</w:t>
      </w:r>
      <w:proofErr w:type="spellEnd"/>
      <w:r>
        <w:rPr>
          <w:rFonts w:eastAsia="Times New Roman"/>
          <w:lang w:val="es-ES"/>
        </w:rPr>
        <w:t xml:space="preserve"> </w:t>
      </w:r>
      <w:proofErr w:type="spellStart"/>
      <w:r>
        <w:rPr>
          <w:rFonts w:eastAsia="Times New Roman"/>
          <w:lang w:val="es-ES"/>
        </w:rPr>
        <w:t>Internal</w:t>
      </w:r>
      <w:proofErr w:type="spellEnd"/>
      <w:r>
        <w:rPr>
          <w:rFonts w:eastAsia="Times New Roman"/>
          <w:lang w:val="es-ES"/>
        </w:rPr>
        <w:t xml:space="preserve"> Medicine, 155(11), 772-785.</w:t>
      </w:r>
    </w:p>
    <w:p w14:paraId="7EC64FDD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 w:rsidRPr="001D1040">
        <w:rPr>
          <w:rFonts w:eastAsia="Times New Roman"/>
        </w:rPr>
        <w:lastRenderedPageBreak/>
        <w:t xml:space="preserve">[5] Lader, M. (2011). "Benzodiazepines revisited—will we ever learn?" </w:t>
      </w:r>
      <w:proofErr w:type="spellStart"/>
      <w:r>
        <w:rPr>
          <w:rFonts w:eastAsia="Times New Roman"/>
          <w:lang w:val="es-ES"/>
        </w:rPr>
        <w:t>Addiction</w:t>
      </w:r>
      <w:proofErr w:type="spellEnd"/>
      <w:r>
        <w:rPr>
          <w:rFonts w:eastAsia="Times New Roman"/>
          <w:lang w:val="es-ES"/>
        </w:rPr>
        <w:t>, 106(12), 2086-2109.</w:t>
      </w:r>
    </w:p>
    <w:p w14:paraId="18F2C2F4" w14:textId="77777777" w:rsidR="001D1040" w:rsidRDefault="001D1040" w:rsidP="001D1040">
      <w:pPr>
        <w:numPr>
          <w:ilvl w:val="0"/>
          <w:numId w:val="8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[6] Hofmann, S.G., </w:t>
      </w:r>
      <w:proofErr w:type="spellStart"/>
      <w:r>
        <w:rPr>
          <w:rFonts w:eastAsia="Times New Roman"/>
          <w:lang w:val="es-ES"/>
        </w:rPr>
        <w:t>Asnaani</w:t>
      </w:r>
      <w:proofErr w:type="spellEnd"/>
      <w:r>
        <w:rPr>
          <w:rFonts w:eastAsia="Times New Roman"/>
          <w:lang w:val="es-ES"/>
        </w:rPr>
        <w:t xml:space="preserve">, A., Vonk, I.J.J., et al. </w:t>
      </w:r>
      <w:r w:rsidRPr="001D1040">
        <w:rPr>
          <w:rFonts w:eastAsia="Times New Roman"/>
        </w:rPr>
        <w:t xml:space="preserve">(2012). "The efficacy of cognitive behavioral therapy: A review of meta-analyses." </w:t>
      </w:r>
      <w:r>
        <w:rPr>
          <w:rFonts w:eastAsia="Times New Roman"/>
          <w:lang w:val="es-ES"/>
        </w:rPr>
        <w:t xml:space="preserve">Cognitive </w:t>
      </w:r>
      <w:proofErr w:type="spellStart"/>
      <w:r>
        <w:rPr>
          <w:rFonts w:eastAsia="Times New Roman"/>
          <w:lang w:val="es-ES"/>
        </w:rPr>
        <w:t>Therapy</w:t>
      </w:r>
      <w:proofErr w:type="spellEnd"/>
      <w:r>
        <w:rPr>
          <w:rFonts w:eastAsia="Times New Roman"/>
          <w:lang w:val="es-ES"/>
        </w:rPr>
        <w:t xml:space="preserve"> and </w:t>
      </w:r>
      <w:proofErr w:type="spellStart"/>
      <w:r>
        <w:rPr>
          <w:rFonts w:eastAsia="Times New Roman"/>
          <w:lang w:val="es-ES"/>
        </w:rPr>
        <w:t>Research</w:t>
      </w:r>
      <w:proofErr w:type="spellEnd"/>
      <w:r>
        <w:rPr>
          <w:rFonts w:eastAsia="Times New Roman"/>
          <w:lang w:val="es-ES"/>
        </w:rPr>
        <w:t>, 36, 427-440.</w:t>
      </w:r>
    </w:p>
    <w:p w14:paraId="469D96F7" w14:textId="769637F5" w:rsidR="004E3C30" w:rsidRPr="001D1040" w:rsidRDefault="004E3C30" w:rsidP="001D1040">
      <w:pPr>
        <w:rPr>
          <w:lang w:val="es-MX"/>
        </w:rPr>
      </w:pPr>
    </w:p>
    <w:sectPr w:rsidR="004E3C30" w:rsidRPr="001D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679"/>
    <w:multiLevelType w:val="multilevel"/>
    <w:tmpl w:val="050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D4E7D"/>
    <w:multiLevelType w:val="multilevel"/>
    <w:tmpl w:val="BB2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A6F97"/>
    <w:multiLevelType w:val="multilevel"/>
    <w:tmpl w:val="7C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B1760"/>
    <w:multiLevelType w:val="multilevel"/>
    <w:tmpl w:val="E8D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F3F29"/>
    <w:multiLevelType w:val="multilevel"/>
    <w:tmpl w:val="8E8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F5B58"/>
    <w:multiLevelType w:val="multilevel"/>
    <w:tmpl w:val="0CE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856F1"/>
    <w:multiLevelType w:val="multilevel"/>
    <w:tmpl w:val="62D0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73BE9"/>
    <w:multiLevelType w:val="multilevel"/>
    <w:tmpl w:val="12C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89885">
    <w:abstractNumId w:val="4"/>
  </w:num>
  <w:num w:numId="2" w16cid:durableId="941910862">
    <w:abstractNumId w:val="0"/>
  </w:num>
  <w:num w:numId="3" w16cid:durableId="884755350">
    <w:abstractNumId w:val="3"/>
  </w:num>
  <w:num w:numId="4" w16cid:durableId="1682856829">
    <w:abstractNumId w:val="7"/>
  </w:num>
  <w:num w:numId="5" w16cid:durableId="240717487">
    <w:abstractNumId w:val="5"/>
  </w:num>
  <w:num w:numId="6" w16cid:durableId="1959332090">
    <w:abstractNumId w:val="1"/>
  </w:num>
  <w:num w:numId="7" w16cid:durableId="2071538033">
    <w:abstractNumId w:val="6"/>
  </w:num>
  <w:num w:numId="8" w16cid:durableId="936716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01"/>
    <w:rsid w:val="001D1040"/>
    <w:rsid w:val="004E3C30"/>
    <w:rsid w:val="007B5E04"/>
    <w:rsid w:val="008A7178"/>
    <w:rsid w:val="009305E2"/>
    <w:rsid w:val="0097403E"/>
    <w:rsid w:val="00B5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BB84"/>
  <w15:chartTrackingRefBased/>
  <w15:docId w15:val="{D7D42EC0-1C74-4D44-A12B-5F55BCC2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394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4</cp:revision>
  <dcterms:created xsi:type="dcterms:W3CDTF">2026-04-01T00:38:00Z</dcterms:created>
  <dcterms:modified xsi:type="dcterms:W3CDTF">2026-04-01T00:42:00Z</dcterms:modified>
</cp:coreProperties>
</file>