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4158"/>
        <w:gridCol w:w="4033"/>
      </w:tblGrid>
      <w:tr w:rsidR="00C34BF9" w:rsidRPr="00C34BF9" w14:paraId="469FA72C" w14:textId="77777777">
        <w:trPr>
          <w:tblCellSpacing w:w="15" w:type="dxa"/>
        </w:trPr>
        <w:tc>
          <w:tcPr>
            <w:tcW w:w="0" w:type="auto"/>
            <w:hideMark/>
          </w:tcPr>
          <w:p w14:paraId="24A04F5D" w14:textId="77777777" w:rsidR="00C34BF9" w:rsidRDefault="00C34BF9">
            <w:pPr>
              <w:spacing w:after="0" w:line="240" w:lineRule="auto"/>
              <w:rPr>
                <w:b/>
                <w:bCs/>
                <w:kern w:val="0"/>
                <w:lang w:val="es-ES"/>
                <w14:ligatures w14:val="none"/>
              </w:rPr>
            </w:pPr>
            <w:r>
              <w:rPr>
                <w:b/>
                <w:bCs/>
                <w:lang w:val="es-ES"/>
              </w:rPr>
              <w:t>Aspecto</w:t>
            </w:r>
          </w:p>
        </w:tc>
        <w:tc>
          <w:tcPr>
            <w:tcW w:w="0" w:type="auto"/>
            <w:hideMark/>
          </w:tcPr>
          <w:p w14:paraId="351160C0" w14:textId="77777777" w:rsidR="00C34BF9" w:rsidRDefault="00C34BF9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Tratamiento con psilocibina</w:t>
            </w:r>
          </w:p>
        </w:tc>
        <w:tc>
          <w:tcPr>
            <w:tcW w:w="0" w:type="auto"/>
            <w:hideMark/>
          </w:tcPr>
          <w:p w14:paraId="76B987E7" w14:textId="77777777" w:rsidR="00C34BF9" w:rsidRDefault="00C34BF9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Tratamientos convencionales (ISRS, terapia cognitivo-conductual, etc.)</w:t>
            </w:r>
          </w:p>
        </w:tc>
      </w:tr>
      <w:tr w:rsidR="00C34BF9" w:rsidRPr="00C34BF9" w14:paraId="780F4A9D" w14:textId="77777777">
        <w:trPr>
          <w:tblCellSpacing w:w="15" w:type="dxa"/>
        </w:trPr>
        <w:tc>
          <w:tcPr>
            <w:tcW w:w="0" w:type="auto"/>
            <w:shd w:val="clear" w:color="auto" w:fill="F2F2F2"/>
            <w:hideMark/>
          </w:tcPr>
          <w:p w14:paraId="75DD1F5E" w14:textId="77777777" w:rsidR="00C34BF9" w:rsidRDefault="00C34BF9">
            <w:pPr>
              <w:spacing w:after="0" w:line="240" w:lineRule="auto"/>
              <w:rPr>
                <w:lang w:val="es-ES"/>
              </w:rPr>
            </w:pPr>
            <w:r>
              <w:rPr>
                <w:b/>
                <w:bCs/>
                <w:lang w:val="es-ES"/>
              </w:rPr>
              <w:t>Biológicos</w:t>
            </w:r>
          </w:p>
        </w:tc>
        <w:tc>
          <w:tcPr>
            <w:tcW w:w="0" w:type="auto"/>
            <w:shd w:val="clear" w:color="auto" w:fill="F2F2F2"/>
            <w:hideMark/>
          </w:tcPr>
          <w:p w14:paraId="3F0957ED" w14:textId="77777777" w:rsidR="00C34BF9" w:rsidRDefault="00C34BF9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La psilocibina actúa principalmente sobre los receptores de serotonina (5-HT2A), induciendo experiencias profundas y cambios en la </w:t>
            </w:r>
            <w:proofErr w:type="spellStart"/>
            <w:r>
              <w:rPr>
                <w:lang w:val="es-ES"/>
              </w:rPr>
              <w:t>neuroplasticidad</w:t>
            </w:r>
            <w:proofErr w:type="spellEnd"/>
            <w:r>
              <w:rPr>
                <w:lang w:val="es-ES"/>
              </w:rPr>
              <w:t xml:space="preserve">. En dosis controladas, presenta efectos secundarios mínimos y no genera dependencia </w:t>
            </w:r>
            <w:proofErr w:type="spellStart"/>
            <w:proofErr w:type="gramStart"/>
            <w:r>
              <w:rPr>
                <w:lang w:val="es-ES"/>
              </w:rPr>
              <w:t>física.</w:t>
            </w:r>
            <w:r>
              <w:rPr>
                <w:sz w:val="24"/>
                <w:szCs w:val="24"/>
                <w:lang w:val="es-ES"/>
              </w:rPr>
              <w:t>Referencias</w:t>
            </w:r>
            <w:proofErr w:type="spellEnd"/>
            <w:proofErr w:type="gramEnd"/>
            <w:r>
              <w:rPr>
                <w:sz w:val="24"/>
                <w:szCs w:val="24"/>
                <w:lang w:val="es-ES"/>
              </w:rPr>
              <w:t>: Carhart-Harris et al., 2016; Johnson et al., 2018.</w:t>
            </w:r>
          </w:p>
        </w:tc>
        <w:tc>
          <w:tcPr>
            <w:tcW w:w="0" w:type="auto"/>
            <w:shd w:val="clear" w:color="auto" w:fill="F2F2F2"/>
            <w:hideMark/>
          </w:tcPr>
          <w:p w14:paraId="647F05D3" w14:textId="77777777" w:rsidR="00C34BF9" w:rsidRDefault="00C34BF9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Los inhibidores selectivos de la recaptación de serotonina (ISRS) y otros tratamientos farmacológicos regulan neurotransmisores como serotonina y dopamina. Los efectos secundarios son frecuentes (insomnio, alteraciones del peso, disfunción sexual) y algunos fármacos pueden generar </w:t>
            </w:r>
            <w:proofErr w:type="spellStart"/>
            <w:proofErr w:type="gramStart"/>
            <w:r>
              <w:rPr>
                <w:lang w:val="es-ES"/>
              </w:rPr>
              <w:t>dependencia.</w:t>
            </w:r>
            <w:r>
              <w:rPr>
                <w:sz w:val="24"/>
                <w:szCs w:val="24"/>
                <w:lang w:val="es-ES"/>
              </w:rPr>
              <w:t>Referencias</w:t>
            </w:r>
            <w:proofErr w:type="spellEnd"/>
            <w:proofErr w:type="gramEnd"/>
            <w:r>
              <w:rPr>
                <w:sz w:val="24"/>
                <w:szCs w:val="24"/>
                <w:lang w:val="es-ES"/>
              </w:rPr>
              <w:t xml:space="preserve">: Mayo </w:t>
            </w:r>
            <w:proofErr w:type="spellStart"/>
            <w:r>
              <w:rPr>
                <w:sz w:val="24"/>
                <w:szCs w:val="24"/>
                <w:lang w:val="es-ES"/>
              </w:rPr>
              <w:t>Clinic</w:t>
            </w:r>
            <w:proofErr w:type="spellEnd"/>
            <w:r>
              <w:rPr>
                <w:sz w:val="24"/>
                <w:szCs w:val="24"/>
                <w:lang w:val="es-ES"/>
              </w:rPr>
              <w:t>, 2023; Cipriani et al., 2018.</w:t>
            </w:r>
          </w:p>
        </w:tc>
      </w:tr>
      <w:tr w:rsidR="00C34BF9" w:rsidRPr="00C34BF9" w14:paraId="5BD6E8DC" w14:textId="77777777">
        <w:trPr>
          <w:tblCellSpacing w:w="15" w:type="dxa"/>
        </w:trPr>
        <w:tc>
          <w:tcPr>
            <w:tcW w:w="0" w:type="auto"/>
            <w:hideMark/>
          </w:tcPr>
          <w:p w14:paraId="7DAE5681" w14:textId="77777777" w:rsidR="00C34BF9" w:rsidRDefault="00C34BF9">
            <w:pPr>
              <w:spacing w:after="0" w:line="240" w:lineRule="auto"/>
              <w:rPr>
                <w:lang w:val="es-ES"/>
              </w:rPr>
            </w:pPr>
            <w:r>
              <w:rPr>
                <w:b/>
                <w:bCs/>
                <w:lang w:val="es-ES"/>
              </w:rPr>
              <w:t>Psicológicos</w:t>
            </w:r>
          </w:p>
        </w:tc>
        <w:tc>
          <w:tcPr>
            <w:tcW w:w="0" w:type="auto"/>
            <w:hideMark/>
          </w:tcPr>
          <w:p w14:paraId="24397B3E" w14:textId="77777777" w:rsidR="00C34BF9" w:rsidRDefault="00C34BF9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La psilocibina facilita la introspección, el cambio de perspectiva y el procesamiento de traumas. Es fundamental el acompañamiento terapéutico para evitar posibles riesgos psicológicos, como ansiedad aguda o experiencias </w:t>
            </w:r>
            <w:proofErr w:type="spellStart"/>
            <w:proofErr w:type="gramStart"/>
            <w:r>
              <w:rPr>
                <w:lang w:val="es-ES"/>
              </w:rPr>
              <w:t>desestabilizadoras.</w:t>
            </w:r>
            <w:r>
              <w:rPr>
                <w:sz w:val="24"/>
                <w:szCs w:val="24"/>
                <w:lang w:val="es-ES"/>
              </w:rPr>
              <w:t>Referencias</w:t>
            </w:r>
            <w:proofErr w:type="spellEnd"/>
            <w:proofErr w:type="gramEnd"/>
            <w:r>
              <w:rPr>
                <w:sz w:val="24"/>
                <w:szCs w:val="24"/>
                <w:lang w:val="es-ES"/>
              </w:rPr>
              <w:t>: Griffiths et al., 2016; Gukasyan &amp; Davis, 2022.</w:t>
            </w:r>
          </w:p>
        </w:tc>
        <w:tc>
          <w:tcPr>
            <w:tcW w:w="0" w:type="auto"/>
            <w:hideMark/>
          </w:tcPr>
          <w:p w14:paraId="4C39AE0C" w14:textId="77777777" w:rsidR="00C34BF9" w:rsidRDefault="00C34BF9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Las terapias convencionales promueven cambios en patrones de pensamiento y manejo emocional. El proceso terapéutico puede requerir tiempo y compromiso; los medicamentos pueden aliviar síntomas, pero no siempre abordan las causas </w:t>
            </w:r>
            <w:proofErr w:type="spellStart"/>
            <w:proofErr w:type="gramStart"/>
            <w:r>
              <w:rPr>
                <w:lang w:val="es-ES"/>
              </w:rPr>
              <w:t>profundas.</w:t>
            </w:r>
            <w:r>
              <w:rPr>
                <w:sz w:val="24"/>
                <w:szCs w:val="24"/>
                <w:lang w:val="es-ES"/>
              </w:rPr>
              <w:t>Referencias</w:t>
            </w:r>
            <w:proofErr w:type="spellEnd"/>
            <w:proofErr w:type="gramEnd"/>
            <w:r>
              <w:rPr>
                <w:sz w:val="24"/>
                <w:szCs w:val="24"/>
                <w:lang w:val="es-ES"/>
              </w:rPr>
              <w:t>: Beck, 2011; Cuijpers et al., 2016.</w:t>
            </w:r>
          </w:p>
        </w:tc>
      </w:tr>
      <w:tr w:rsidR="00C34BF9" w:rsidRPr="00C34BF9" w14:paraId="5564C6B2" w14:textId="77777777">
        <w:trPr>
          <w:tblCellSpacing w:w="15" w:type="dxa"/>
        </w:trPr>
        <w:tc>
          <w:tcPr>
            <w:tcW w:w="0" w:type="auto"/>
            <w:shd w:val="clear" w:color="auto" w:fill="F2F2F2"/>
            <w:hideMark/>
          </w:tcPr>
          <w:p w14:paraId="5EB02C57" w14:textId="77777777" w:rsidR="00C34BF9" w:rsidRDefault="00C34BF9">
            <w:pPr>
              <w:spacing w:after="0" w:line="240" w:lineRule="auto"/>
              <w:rPr>
                <w:lang w:val="es-ES"/>
              </w:rPr>
            </w:pPr>
            <w:r>
              <w:rPr>
                <w:b/>
                <w:bCs/>
                <w:lang w:val="es-ES"/>
              </w:rPr>
              <w:t>Sociales</w:t>
            </w:r>
          </w:p>
        </w:tc>
        <w:tc>
          <w:tcPr>
            <w:tcW w:w="0" w:type="auto"/>
            <w:shd w:val="clear" w:color="auto" w:fill="F2F2F2"/>
            <w:hideMark/>
          </w:tcPr>
          <w:p w14:paraId="27A1FF71" w14:textId="77777777" w:rsidR="00C34BF9" w:rsidRDefault="00C34BF9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El tratamiento con psilocibina presenta estigma social debido a su naturaleza psicodélica, acceso limitado y regulaciones estrictas. Sin embargo, puede favorecer la mejora de relaciones sociales si se obtienen resultados </w:t>
            </w:r>
            <w:proofErr w:type="spellStart"/>
            <w:proofErr w:type="gramStart"/>
            <w:r>
              <w:rPr>
                <w:lang w:val="es-ES"/>
              </w:rPr>
              <w:t>positivos.</w:t>
            </w:r>
            <w:r>
              <w:rPr>
                <w:sz w:val="24"/>
                <w:szCs w:val="24"/>
                <w:lang w:val="es-ES"/>
              </w:rPr>
              <w:t>Referencias</w:t>
            </w:r>
            <w:proofErr w:type="spellEnd"/>
            <w:proofErr w:type="gramEnd"/>
            <w:r>
              <w:rPr>
                <w:sz w:val="24"/>
                <w:szCs w:val="24"/>
                <w:lang w:val="es-ES"/>
              </w:rPr>
              <w:t>: Reiff et al., 2020; Nutt &amp; Carhart-Harris, 2021.</w:t>
            </w:r>
          </w:p>
        </w:tc>
        <w:tc>
          <w:tcPr>
            <w:tcW w:w="0" w:type="auto"/>
            <w:shd w:val="clear" w:color="auto" w:fill="F2F2F2"/>
            <w:hideMark/>
          </w:tcPr>
          <w:p w14:paraId="0CD152DE" w14:textId="77777777" w:rsidR="00C34BF9" w:rsidRDefault="00C34BF9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Los tratamientos convencionales tienen mayor aceptación social y disponibilidad, y suelen estar cubiertos por sistemas de salud. No obstante, pueden existir barreras económicas o de acceso a terapias </w:t>
            </w:r>
            <w:proofErr w:type="spellStart"/>
            <w:proofErr w:type="gramStart"/>
            <w:r>
              <w:rPr>
                <w:lang w:val="es-ES"/>
              </w:rPr>
              <w:t>especializadas.</w:t>
            </w:r>
            <w:r>
              <w:rPr>
                <w:sz w:val="24"/>
                <w:szCs w:val="24"/>
                <w:lang w:val="es-ES"/>
              </w:rPr>
              <w:t>Referencias</w:t>
            </w:r>
            <w:proofErr w:type="spellEnd"/>
            <w:proofErr w:type="gramEnd"/>
            <w:r>
              <w:rPr>
                <w:sz w:val="24"/>
                <w:szCs w:val="24"/>
                <w:lang w:val="es-ES"/>
              </w:rPr>
              <w:t xml:space="preserve">: World Health </w:t>
            </w:r>
            <w:proofErr w:type="spellStart"/>
            <w:r>
              <w:rPr>
                <w:sz w:val="24"/>
                <w:szCs w:val="24"/>
                <w:lang w:val="es-ES"/>
              </w:rPr>
              <w:t>Organization</w:t>
            </w:r>
            <w:proofErr w:type="spellEnd"/>
            <w:r>
              <w:rPr>
                <w:sz w:val="24"/>
                <w:szCs w:val="24"/>
                <w:lang w:val="es-ES"/>
              </w:rPr>
              <w:t xml:space="preserve">, 2021; American </w:t>
            </w:r>
            <w:proofErr w:type="spellStart"/>
            <w:r>
              <w:rPr>
                <w:sz w:val="24"/>
                <w:szCs w:val="24"/>
                <w:lang w:val="es-ES"/>
              </w:rPr>
              <w:t>Psychological</w:t>
            </w:r>
            <w:proofErr w:type="spellEnd"/>
            <w:r>
              <w:rPr>
                <w:sz w:val="24"/>
                <w:szCs w:val="24"/>
                <w:lang w:val="es-E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s-ES"/>
              </w:rPr>
              <w:t>Association</w:t>
            </w:r>
            <w:proofErr w:type="spellEnd"/>
            <w:r>
              <w:rPr>
                <w:sz w:val="24"/>
                <w:szCs w:val="24"/>
                <w:lang w:val="es-ES"/>
              </w:rPr>
              <w:t>, 2022.</w:t>
            </w:r>
          </w:p>
        </w:tc>
      </w:tr>
    </w:tbl>
    <w:p w14:paraId="25248F3A" w14:textId="1B400FB6" w:rsidR="00C34BF9" w:rsidRPr="00C34BF9" w:rsidRDefault="00C34BF9" w:rsidP="00C34BF9">
      <w:pPr>
        <w:rPr>
          <w:lang w:val="es-MX"/>
        </w:rPr>
      </w:pPr>
    </w:p>
    <w:p w14:paraId="2E53555C" w14:textId="2C3FC2E5" w:rsidR="004E3C30" w:rsidRPr="00C34BF9" w:rsidRDefault="004E3C30" w:rsidP="00C34BF9">
      <w:pPr>
        <w:rPr>
          <w:lang w:val="es-MX"/>
        </w:rPr>
      </w:pPr>
    </w:p>
    <w:sectPr w:rsidR="004E3C30" w:rsidRPr="00C34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7B7"/>
    <w:rsid w:val="00311024"/>
    <w:rsid w:val="004E3C30"/>
    <w:rsid w:val="007742F9"/>
    <w:rsid w:val="009305E2"/>
    <w:rsid w:val="00961DE7"/>
    <w:rsid w:val="00C34BF9"/>
    <w:rsid w:val="00D85D5E"/>
    <w:rsid w:val="00FD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4660"/>
  <w15:chartTrackingRefBased/>
  <w15:docId w15:val="{8D3132BB-3146-4096-9664-33591280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3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3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3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3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3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3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3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3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3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7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37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37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37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37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37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3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3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3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3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37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37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37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3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37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3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5</cp:revision>
  <dcterms:created xsi:type="dcterms:W3CDTF">2026-04-01T00:43:00Z</dcterms:created>
  <dcterms:modified xsi:type="dcterms:W3CDTF">2026-04-01T00:45:00Z</dcterms:modified>
</cp:coreProperties>
</file>