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— Business Core Migration Report</w:t>
      </w:r>
    </w:p>
    <w:p>
      <w:r>
        <w:t>Product: Sirman / لایق الکترونیک پارسیان</w:t>
      </w:r>
    </w:p>
    <w:p>
      <w:r>
        <w:t>Version: 1405.5.23ι (assembly 1405.5.23.10)</w:t>
      </w:r>
    </w:p>
    <w:p>
      <w:r>
        <w:t>Date: 1405/05/23 (2026-08-14)</w:t>
      </w:r>
    </w:p>
    <w:p>
      <w:r>
        <w:t>Branch: cursor/phase2-core-3733  |  Base: cursor/phase1-core-3733</w:t>
      </w:r>
    </w:p>
    <w:p>
      <w:r>
        <w:t>Method: EXTRACT + REFACTOR + REUSE + TEST. No rewrite. No parallel inventory/invoice/warranty systems.</w:t>
      </w:r>
    </w:p>
    <w:p>
      <w:pPr>
        <w:pStyle w:val="Heading1"/>
      </w:pPr>
      <w:r>
        <w:t>1. Executive Summary</w:t>
      </w:r>
    </w:p>
    <w:p>
      <w:r>
        <w:t>Phase 2 extracted the already-existing pure business formulas into desktop/Sirman.Core/Business and exposed them through one Host bridge (RunBusiness). Storage is still localStorage. HTML-only still runs the original JavaScript. In the Windows exe, Core results are compared with JS (dual-run); on mismatch the old JS result is kept so behavior does not change. God-object warranty save/close, warehouse documents, and reports were not forcibly ripped out of the UI because that would risk live data paths.</w:t>
      </w:r>
    </w:p>
    <w:p>
      <w:pPr>
        <w:pStyle w:val="Heading1"/>
      </w:pPr>
      <w:r>
        <w:t>2. Baseline Before Phase 2</w:t>
      </w:r>
    </w:p>
    <w:p>
      <w:pPr>
        <w:pStyle w:val="ListBullet"/>
      </w:pPr>
      <w:r>
        <w:t>Branch at start: cursor/phase1-core-3733 @ 45cf535 (1405.5.23θ)</w:t>
      </w:r>
    </w:p>
    <w:p>
      <w:pPr>
        <w:pStyle w:val="ListBullet"/>
      </w:pPr>
      <w:r>
        <w:t>HTML tests: node test_laegh.js Sirman_Final.html → 495 passed / 0 failed</w:t>
      </w:r>
    </w:p>
    <w:p>
      <w:pPr>
        <w:pStyle w:val="ListBullet"/>
      </w:pPr>
      <w:r>
        <w:t>C# tests: dotnet test desktop/Sirman.Core.Tests → 24 passed / 0 failed</w:t>
      </w:r>
    </w:p>
    <w:p>
      <w:pPr>
        <w:pStyle w:val="ListBullet"/>
      </w:pPr>
      <w:r>
        <w:t>Application: single HTML UI + WebView2 Host; data in localStorage/IndexedDB; SmartCore/InventoryEngine in JS; Phase 1 security gate already present</w:t>
      </w:r>
    </w:p>
    <w:p>
      <w:pPr>
        <w:pStyle w:val="ListBullet"/>
      </w:pPr>
      <w:r>
        <w:t>Baseline was green. Phase 2 failures were not mixed with baseline failures.</w:t>
      </w:r>
    </w:p>
    <w:p>
      <w:pPr>
        <w:pStyle w:val="Heading1"/>
      </w:pPr>
      <w:r>
        <w:t>3. Business Logic Inventory</w:t>
      </w:r>
    </w:p>
    <w:p>
      <w:r>
        <w:t>File for all rows unless noted: Sirman_Final.html. Tests: test_laegh.js groups as listed.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Name</w:t>
            </w:r>
          </w:p>
        </w:tc>
        <w:tc>
          <w:tcPr>
            <w:tcW w:type="dxa" w:w="1080"/>
          </w:tcPr>
          <w:p>
            <w:r>
              <w:t>Function</w:t>
            </w:r>
          </w:p>
        </w:tc>
        <w:tc>
          <w:tcPr>
            <w:tcW w:type="dxa" w:w="1080"/>
          </w:tcPr>
          <w:p>
            <w:r>
              <w:t>Deps</w:t>
            </w:r>
          </w:p>
        </w:tc>
        <w:tc>
          <w:tcPr>
            <w:tcW w:type="dxa" w:w="1080"/>
          </w:tcPr>
          <w:p>
            <w:r>
              <w:t>In</w:t>
            </w:r>
          </w:p>
        </w:tc>
        <w:tc>
          <w:tcPr>
            <w:tcW w:type="dxa" w:w="1080"/>
          </w:tcPr>
          <w:p>
            <w:r>
              <w:t>Out</w:t>
            </w:r>
          </w:p>
        </w:tc>
        <w:tc>
          <w:tcPr>
            <w:tcW w:type="dxa" w:w="1080"/>
          </w:tcPr>
          <w:p>
            <w:r>
              <w:t>Data effect</w:t>
            </w:r>
          </w:p>
        </w:tc>
        <w:tc>
          <w:tcPr>
            <w:tcW w:type="dxa" w:w="1080"/>
          </w:tcPr>
          <w:p>
            <w:r>
              <w:t>Tests</w:t>
            </w:r>
          </w:p>
        </w:tc>
        <w:tc>
          <w:tcPr>
            <w:tcW w:type="dxa" w:w="1080"/>
          </w:tcPr>
          <w:p>
            <w:r>
              <w:t>Move risk</w:t>
            </w:r>
          </w:p>
        </w:tc>
      </w:tr>
      <w:tr>
        <w:tc>
          <w:tcPr>
            <w:tcW w:type="dxa" w:w="1080"/>
          </w:tcPr>
          <w:p>
            <w:r>
              <w:t>Warranty end date</w:t>
            </w:r>
          </w:p>
        </w:tc>
        <w:tc>
          <w:tcPr>
            <w:tcW w:type="dxa" w:w="1080"/>
          </w:tcPr>
          <w:p>
            <w:r>
              <w:t>calcWarrantyEndDate / addJalaliMonths</w:t>
            </w:r>
          </w:p>
        </w:tc>
        <w:tc>
          <w:tcPr>
            <w:tcW w:type="dxa" w:w="1080"/>
          </w:tcPr>
          <w:p>
            <w:r>
              <w:t>Jalali string</w:t>
            </w:r>
          </w:p>
        </w:tc>
        <w:tc>
          <w:tcPr>
            <w:tcW w:type="dxa" w:w="1080"/>
          </w:tcPr>
          <w:p>
            <w:r>
              <w:t>date, months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SmartCore calc</w:t>
            </w:r>
          </w:p>
        </w:tc>
        <w:tc>
          <w:tcPr>
            <w:tcW w:type="dxa" w:w="1080"/>
          </w:tcPr>
          <w:p>
            <w:r>
              <w:t>low — MOVED (compute)</w:t>
            </w:r>
          </w:p>
        </w:tc>
      </w:tr>
      <w:tr>
        <w:tc>
          <w:tcPr>
            <w:tcW w:type="dxa" w:w="1080"/>
          </w:tcPr>
          <w:p>
            <w:r>
              <w:t>Balance / remaining</w:t>
            </w:r>
          </w:p>
        </w:tc>
        <w:tc>
          <w:tcPr>
            <w:tcW w:type="dxa" w:w="1080"/>
          </w:tcPr>
          <w:p>
            <w:r>
              <w:t>calcBalance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total, paid</w:t>
            </w:r>
          </w:p>
        </w:tc>
        <w:tc>
          <w:tcPr>
            <w:tcW w:type="dxa" w:w="1080"/>
          </w:tcPr>
          <w:p>
            <w:r>
              <w:t>number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SmartCore calc</w:t>
            </w:r>
          </w:p>
        </w:tc>
        <w:tc>
          <w:tcPr>
            <w:tcW w:type="dxa" w:w="1080"/>
          </w:tcPr>
          <w:p>
            <w:r>
              <w:t>low — MOVED</w:t>
            </w:r>
          </w:p>
        </w:tc>
      </w:tr>
      <w:tr>
        <w:tc>
          <w:tcPr>
            <w:tcW w:type="dxa" w:w="1080"/>
          </w:tcPr>
          <w:p>
            <w:r>
              <w:t>Final amount</w:t>
            </w:r>
          </w:p>
        </w:tc>
        <w:tc>
          <w:tcPr>
            <w:tcW w:type="dxa" w:w="1080"/>
          </w:tcPr>
          <w:p>
            <w:r>
              <w:t>calcFinalAmount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parts, labor, other, discount</w:t>
            </w:r>
          </w:p>
        </w:tc>
        <w:tc>
          <w:tcPr>
            <w:tcW w:type="dxa" w:w="1080"/>
          </w:tcPr>
          <w:p>
            <w:r>
              <w:t>number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SmartCore calc</w:t>
            </w:r>
          </w:p>
        </w:tc>
        <w:tc>
          <w:tcPr>
            <w:tcW w:type="dxa" w:w="1080"/>
          </w:tcPr>
          <w:p>
            <w:r>
              <w:t>low — MOVED</w:t>
            </w:r>
          </w:p>
        </w:tc>
      </w:tr>
      <w:tr>
        <w:tc>
          <w:tcPr>
            <w:tcW w:type="dxa" w:w="1080"/>
          </w:tcPr>
          <w:p>
            <w:r>
              <w:t>Available stock</w:t>
            </w:r>
          </w:p>
        </w:tc>
        <w:tc>
          <w:tcPr>
            <w:tcW w:type="dxa" w:w="1080"/>
          </w:tcPr>
          <w:p>
            <w:r>
              <w:t>calcAvailableStock / InventoryEngine.stock</w:t>
            </w:r>
          </w:p>
        </w:tc>
        <w:tc>
          <w:tcPr>
            <w:tcW w:type="dxa" w:w="1080"/>
          </w:tcPr>
          <w:p>
            <w:r>
              <w:t>item/byWh</w:t>
            </w:r>
          </w:p>
        </w:tc>
        <w:tc>
          <w:tcPr>
            <w:tcW w:type="dxa" w:w="1080"/>
          </w:tcPr>
          <w:p>
            <w:r>
              <w:t>qty, reserved</w:t>
            </w:r>
          </w:p>
        </w:tc>
        <w:tc>
          <w:tcPr>
            <w:tcW w:type="dxa" w:w="1080"/>
          </w:tcPr>
          <w:p>
            <w:r>
              <w:t>number / snapshot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Inventory + SmartCore</w:t>
            </w:r>
          </w:p>
        </w:tc>
        <w:tc>
          <w:tcPr>
            <w:tcW w:type="dxa" w:w="1080"/>
          </w:tcPr>
          <w:p>
            <w:r>
              <w:t>low — MOVED</w:t>
            </w:r>
          </w:p>
        </w:tc>
      </w:tr>
      <w:tr>
        <w:tc>
          <w:tcPr>
            <w:tcW w:type="dxa" w:w="1080"/>
          </w:tcPr>
          <w:p>
            <w:r>
              <w:t>Reorder point</w:t>
            </w:r>
          </w:p>
        </w:tc>
        <w:tc>
          <w:tcPr>
            <w:tcW w:type="dxa" w:w="1080"/>
          </w:tcPr>
          <w:p>
            <w:r>
              <w:t>calcReorderPoint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usage, lead, safety</w:t>
            </w:r>
          </w:p>
        </w:tc>
        <w:tc>
          <w:tcPr>
            <w:tcW w:type="dxa" w:w="1080"/>
          </w:tcPr>
          <w:p>
            <w:r>
              <w:t>number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SmartCore</w:t>
            </w:r>
          </w:p>
        </w:tc>
        <w:tc>
          <w:tcPr>
            <w:tcW w:type="dxa" w:w="1080"/>
          </w:tcPr>
          <w:p>
            <w:r>
              <w:t>low — MOVED</w:t>
            </w:r>
          </w:p>
        </w:tc>
      </w:tr>
      <w:tr>
        <w:tc>
          <w:tcPr>
            <w:tcW w:type="dxa" w:w="1080"/>
          </w:tcPr>
          <w:p>
            <w:r>
              <w:t>SLA age</w:t>
            </w:r>
          </w:p>
        </w:tc>
        <w:tc>
          <w:tcPr>
            <w:tcW w:type="dxa" w:w="1080"/>
          </w:tcPr>
          <w:p>
            <w:r>
              <w:t>calcSlaStatusFromAgeHours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hours</w:t>
            </w:r>
          </w:p>
        </w:tc>
        <w:tc>
          <w:tcPr>
            <w:tcW w:type="dxa" w:w="1080"/>
          </w:tcPr>
          <w:p>
            <w:r>
              <w:t>enum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SmartCore SLA</w:t>
            </w:r>
          </w:p>
        </w:tc>
        <w:tc>
          <w:tcPr>
            <w:tcW w:type="dxa" w:w="1080"/>
          </w:tcPr>
          <w:p>
            <w:r>
              <w:t>low — MOVED</w:t>
            </w:r>
          </w:p>
        </w:tc>
      </w:tr>
      <w:tr>
        <w:tc>
          <w:tcPr>
            <w:tcW w:type="dxa" w:w="1080"/>
          </w:tcPr>
          <w:p>
            <w:r>
              <w:t>Invoice line/total</w:t>
            </w:r>
          </w:p>
        </w:tc>
        <w:tc>
          <w:tcPr>
            <w:tcW w:type="dxa" w:w="1080"/>
          </w:tcPr>
          <w:p>
            <w:r>
              <w:t>calcT / getData / calcInvoiceLine</w:t>
            </w:r>
          </w:p>
        </w:tc>
        <w:tc>
          <w:tcPr>
            <w:tcW w:type="dxa" w:w="1080"/>
          </w:tcPr>
          <w:p>
            <w:r>
              <w:t>DOM</w:t>
            </w:r>
          </w:p>
        </w:tc>
        <w:tc>
          <w:tcPr>
            <w:tcW w:type="dxa" w:w="1080"/>
          </w:tcPr>
          <w:p>
            <w:r>
              <w:t>est, disc%, finRaw</w:t>
            </w:r>
          </w:p>
        </w:tc>
        <w:tc>
          <w:tcPr>
            <w:tcW w:type="dxa" w:w="1080"/>
          </w:tcPr>
          <w:p>
            <w:r>
              <w:t>da, fin, tE/tD/tF</w:t>
            </w:r>
          </w:p>
        </w:tc>
        <w:tc>
          <w:tcPr>
            <w:tcW w:type="dxa" w:w="1080"/>
          </w:tcPr>
          <w:p>
            <w:r>
              <w:t>none until save</w:t>
            </w:r>
          </w:p>
        </w:tc>
        <w:tc>
          <w:tcPr>
            <w:tcW w:type="dxa" w:w="1080"/>
          </w:tcPr>
          <w:p>
            <w:r>
              <w:t>calcT disc&gt;0 tests</w:t>
            </w:r>
          </w:p>
        </w:tc>
        <w:tc>
          <w:tcPr>
            <w:tcW w:type="dxa" w:w="1080"/>
          </w:tcPr>
          <w:p>
            <w:r>
              <w:t>medium — formula MOVED; DOM stays</w:t>
            </w:r>
          </w:p>
        </w:tc>
      </w:tr>
      <w:tr>
        <w:tc>
          <w:tcPr>
            <w:tcW w:type="dxa" w:w="1080"/>
          </w:tcPr>
          <w:p>
            <w:r>
              <w:t>Sale total</w:t>
            </w:r>
          </w:p>
        </w:tc>
        <w:tc>
          <w:tcPr>
            <w:tcW w:type="dxa" w:w="1080"/>
          </w:tcPr>
          <w:p>
            <w:r>
              <w:t>calcSaleTotal</w:t>
            </w:r>
          </w:p>
        </w:tc>
        <w:tc>
          <w:tcPr>
            <w:tcW w:type="dxa" w:w="1080"/>
          </w:tcPr>
          <w:p>
            <w:r>
              <w:t>saleItems DOM</w:t>
            </w:r>
          </w:p>
        </w:tc>
        <w:tc>
          <w:tcPr>
            <w:tcW w:type="dxa" w:w="1080"/>
          </w:tcPr>
          <w:p>
            <w:r>
              <w:t>qty, price, disc</w:t>
            </w:r>
          </w:p>
        </w:tc>
        <w:tc>
          <w:tcPr>
            <w:tcW w:type="dxa" w:w="1080"/>
          </w:tcPr>
          <w:p>
            <w:r>
              <w:t>grandTotal</w:t>
            </w:r>
          </w:p>
        </w:tc>
        <w:tc>
          <w:tcPr>
            <w:tcW w:type="dxa" w:w="1080"/>
          </w:tcPr>
          <w:p>
            <w:r>
              <w:t>none until save</w:t>
            </w:r>
          </w:p>
        </w:tc>
        <w:tc>
          <w:tcPr>
            <w:tcW w:type="dxa" w:w="1080"/>
          </w:tcPr>
          <w:p>
            <w:r>
              <w:t>sales tests</w:t>
            </w:r>
          </w:p>
        </w:tc>
        <w:tc>
          <w:tcPr>
            <w:tcW w:type="dxa" w:w="1080"/>
          </w:tcPr>
          <w:p>
            <w:r>
              <w:t>medium — MOVED formula</w:t>
            </w:r>
          </w:p>
        </w:tc>
      </w:tr>
      <w:tr>
        <w:tc>
          <w:tcPr>
            <w:tcW w:type="dxa" w:w="1080"/>
          </w:tcPr>
          <w:p>
            <w:r>
              <w:t>Payment withdraw</w:t>
            </w:r>
          </w:p>
        </w:tc>
        <w:tc>
          <w:tcPr>
            <w:tcW w:type="dxa" w:w="1080"/>
          </w:tcPr>
          <w:p>
            <w:r>
              <w:t>withdrawFromAccount</w:t>
            </w:r>
          </w:p>
        </w:tc>
        <w:tc>
          <w:tcPr>
            <w:tcW w:type="dxa" w:w="1080"/>
          </w:tcPr>
          <w:p>
            <w:r>
              <w:t>accounts[]</w:t>
            </w:r>
          </w:p>
        </w:tc>
        <w:tc>
          <w:tcPr>
            <w:tcW w:type="dxa" w:w="1080"/>
          </w:tcPr>
          <w:p>
            <w:r>
              <w:t>accId, amount</w:t>
            </w:r>
          </w:p>
        </w:tc>
        <w:tc>
          <w:tcPr>
            <w:tcW w:type="dxa" w:w="1080"/>
          </w:tcPr>
          <w:p>
            <w:r>
              <w:t>error or persist</w:t>
            </w:r>
          </w:p>
        </w:tc>
        <w:tc>
          <w:tcPr>
            <w:tcW w:type="dxa" w:w="1080"/>
          </w:tcPr>
          <w:p>
            <w:r>
              <w:t>writes accounts</w:t>
            </w:r>
          </w:p>
        </w:tc>
        <w:tc>
          <w:tcPr>
            <w:tcW w:type="dxa" w:w="1080"/>
          </w:tcPr>
          <w:p>
            <w:r>
              <w:t>accounts module</w:t>
            </w:r>
          </w:p>
        </w:tc>
        <w:tc>
          <w:tcPr>
            <w:tcW w:type="dxa" w:w="1080"/>
          </w:tcPr>
          <w:p>
            <w:r>
              <w:t>medium — rule MOVED; persist JS</w:t>
            </w:r>
          </w:p>
        </w:tc>
      </w:tr>
      <w:tr>
        <w:tc>
          <w:tcPr>
            <w:tcW w:type="dxa" w:w="1080"/>
          </w:tcPr>
          <w:p>
            <w:r>
              <w:t>Inventory reserve/release</w:t>
            </w:r>
          </w:p>
        </w:tc>
        <w:tc>
          <w:tcPr>
            <w:tcW w:type="dxa" w:w="1080"/>
          </w:tcPr>
          <w:p>
            <w:r>
              <w:t>invReserveOnItem / invReleaseReserveOnItem</w:t>
            </w:r>
          </w:p>
        </w:tc>
        <w:tc>
          <w:tcPr>
            <w:tcW w:type="dxa" w:w="1080"/>
          </w:tcPr>
          <w:p>
            <w:r>
              <w:t>item maps</w:t>
            </w:r>
          </w:p>
        </w:tc>
        <w:tc>
          <w:tcPr>
            <w:tcW w:type="dxa" w:w="1080"/>
          </w:tcPr>
          <w:p>
            <w:r>
              <w:t>item, qty, whId</w:t>
            </w:r>
          </w:p>
        </w:tc>
        <w:tc>
          <w:tcPr>
            <w:tcW w:type="dxa" w:w="1080"/>
          </w:tcPr>
          <w:p>
            <w:r>
              <w:t>mutated item</w:t>
            </w:r>
          </w:p>
        </w:tc>
        <w:tc>
          <w:tcPr>
            <w:tcW w:type="dxa" w:w="1080"/>
          </w:tcPr>
          <w:p>
            <w:r>
              <w:t>in-memory item</w:t>
            </w:r>
          </w:p>
        </w:tc>
        <w:tc>
          <w:tcPr>
            <w:tcW w:type="dxa" w:w="1080"/>
          </w:tcPr>
          <w:p>
            <w:r>
              <w:t>Inventory execution</w:t>
            </w:r>
          </w:p>
        </w:tc>
        <w:tc>
          <w:tcPr>
            <w:tcW w:type="dxa" w:w="1080"/>
          </w:tcPr>
          <w:p>
            <w:r>
              <w:t>medium — Core clone; JS still mutates</w:t>
            </w:r>
          </w:p>
        </w:tc>
      </w:tr>
      <w:tr>
        <w:tc>
          <w:tcPr>
            <w:tcW w:type="dxa" w:w="1080"/>
          </w:tcPr>
          <w:p>
            <w:r>
              <w:t>Kardex / low / search / value / dead / consumed</w:t>
            </w:r>
          </w:p>
        </w:tc>
        <w:tc>
          <w:tcPr>
            <w:tcW w:type="dxa" w:w="1080"/>
          </w:tcPr>
          <w:p>
            <w:r>
              <w:t>InventoryEngine.*</w:t>
            </w:r>
          </w:p>
        </w:tc>
        <w:tc>
          <w:tcPr>
            <w:tcW w:type="dxa" w:w="1080"/>
          </w:tcPr>
          <w:p>
            <w:r>
              <w:t>arrays</w:t>
            </w:r>
          </w:p>
        </w:tc>
        <w:tc>
          <w:tcPr>
            <w:tcW w:type="dxa" w:w="1080"/>
          </w:tcPr>
          <w:p>
            <w:r>
              <w:t>lists</w:t>
            </w:r>
          </w:p>
        </w:tc>
        <w:tc>
          <w:tcPr>
            <w:tcW w:type="dxa" w:w="1080"/>
          </w:tcPr>
          <w:p>
            <w:r>
              <w:t>lists/number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Inventory execution</w:t>
            </w:r>
          </w:p>
        </w:tc>
        <w:tc>
          <w:tcPr>
            <w:tcW w:type="dxa" w:w="1080"/>
          </w:tcPr>
          <w:p>
            <w:r>
              <w:t>medium — MOVED compute</w:t>
            </w:r>
          </w:p>
        </w:tc>
      </w:tr>
      <w:tr>
        <w:tc>
          <w:tcPr>
            <w:tcW w:type="dxa" w:w="1080"/>
          </w:tcPr>
          <w:p>
            <w:r>
              <w:t>Part suggest</w:t>
            </w:r>
          </w:p>
        </w:tc>
        <w:tc>
          <w:tcPr>
            <w:tcW w:type="dxa" w:w="1080"/>
          </w:tcPr>
          <w:p>
            <w:r>
              <w:t>suggestPartsForCase</w:t>
            </w:r>
          </w:p>
        </w:tc>
        <w:tc>
          <w:tcPr>
            <w:tcW w:type="dxa" w:w="1080"/>
          </w:tcPr>
          <w:p>
            <w:r>
              <w:t>parts catalog</w:t>
            </w:r>
          </w:p>
        </w:tc>
        <w:tc>
          <w:tcPr>
            <w:tcW w:type="dxa" w:w="1080"/>
          </w:tcPr>
          <w:p>
            <w:r>
              <w:t>prod/model/problem</w:t>
            </w:r>
          </w:p>
        </w:tc>
        <w:tc>
          <w:tcPr>
            <w:tcW w:type="dxa" w:w="1080"/>
          </w:tcPr>
          <w:p>
            <w:r>
              <w:t>hits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SmartCore suggest</w:t>
            </w:r>
          </w:p>
        </w:tc>
        <w:tc>
          <w:tcPr>
            <w:tcW w:type="dxa" w:w="1080"/>
          </w:tcPr>
          <w:p>
            <w:r>
              <w:t>low — MOVED</w:t>
            </w:r>
          </w:p>
        </w:tc>
      </w:tr>
      <w:tr>
        <w:tc>
          <w:tcPr>
            <w:tcW w:type="dxa" w:w="1080"/>
          </w:tcPr>
          <w:p>
            <w:r>
              <w:t>Warranty transition</w:t>
            </w:r>
          </w:p>
        </w:tc>
        <w:tc>
          <w:tcPr>
            <w:tcW w:type="dxa" w:w="1080"/>
          </w:tcPr>
          <w:p>
            <w:r>
              <w:t>canWarrantyTransition / applyWarrantyTransition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from,to / record</w:t>
            </w:r>
          </w:p>
        </w:tc>
        <w:tc>
          <w:tcPr>
            <w:tcW w:type="dxa" w:w="1080"/>
          </w:tcPr>
          <w:p>
            <w:r>
              <w:t>bool / new record</w:t>
            </w:r>
          </w:p>
        </w:tc>
        <w:tc>
          <w:tcPr>
            <w:tcW w:type="dxa" w:w="1080"/>
          </w:tcPr>
          <w:p>
            <w:r>
              <w:t>none until closeWar</w:t>
            </w:r>
          </w:p>
        </w:tc>
        <w:tc>
          <w:tcPr>
            <w:tcW w:type="dxa" w:w="1080"/>
          </w:tcPr>
          <w:p>
            <w:r>
              <w:t>workflow tests</w:t>
            </w:r>
          </w:p>
        </w:tc>
        <w:tc>
          <w:tcPr>
            <w:tcW w:type="dxa" w:w="1080"/>
          </w:tcPr>
          <w:p>
            <w:r>
              <w:t>low can-transition MOVED; apply not wrapped (closedAt clock)</w:t>
            </w:r>
          </w:p>
        </w:tc>
      </w:tr>
      <w:tr>
        <w:tc>
          <w:tcPr>
            <w:tcW w:type="dxa" w:w="1080"/>
          </w:tcPr>
          <w:p>
            <w:r>
              <w:t>Warranty save/close</w:t>
            </w:r>
          </w:p>
        </w:tc>
        <w:tc>
          <w:tcPr>
            <w:tcW w:type="dxa" w:w="1080"/>
          </w:tcPr>
          <w:p>
            <w:r>
              <w:t>saveWar / closeWar / warrantyCloseMissingFields</w:t>
            </w:r>
          </w:p>
        </w:tc>
        <w:tc>
          <w:tcPr>
            <w:tcW w:type="dxa" w:w="1080"/>
          </w:tcPr>
          <w:p>
            <w:r>
              <w:t>parts, accounts, daqi, DOM</w:t>
            </w:r>
          </w:p>
        </w:tc>
        <w:tc>
          <w:tcPr>
            <w:tcW w:type="dxa" w:w="1080"/>
          </w:tcPr>
          <w:p>
            <w:r>
              <w:t>form</w:t>
            </w:r>
          </w:p>
        </w:tc>
        <w:tc>
          <w:tcPr>
            <w:tcW w:type="dxa" w:w="1080"/>
          </w:tcPr>
          <w:p>
            <w:r>
              <w:t>persist + side effects</w:t>
            </w:r>
          </w:p>
        </w:tc>
        <w:tc>
          <w:tcPr>
            <w:tcW w:type="dxa" w:w="1080"/>
          </w:tcPr>
          <w:p>
            <w:r>
              <w:t>high write</w:t>
            </w:r>
          </w:p>
        </w:tc>
        <w:tc>
          <w:tcPr>
            <w:tcW w:type="dxa" w:w="1080"/>
          </w:tcPr>
          <w:p>
            <w:r>
              <w:t>warranty tests</w:t>
            </w:r>
          </w:p>
        </w:tc>
        <w:tc>
          <w:tcPr>
            <w:tcW w:type="dxa" w:w="1080"/>
          </w:tcPr>
          <w:p>
            <w:r>
              <w:t>HIGH — NOT fully moved</w:t>
            </w:r>
          </w:p>
        </w:tc>
      </w:tr>
      <w:tr>
        <w:tc>
          <w:tcPr>
            <w:tcW w:type="dxa" w:w="1080"/>
          </w:tcPr>
          <w:p>
            <w:r>
              <w:t>Warehouse docs</w:t>
            </w:r>
          </w:p>
        </w:tc>
        <w:tc>
          <w:tcPr>
            <w:tcW w:type="dxa" w:w="1080"/>
          </w:tcPr>
          <w:p>
            <w:r>
              <w:t>saveWarehouseDoc / applyStockByWarehouse</w:t>
            </w:r>
          </w:p>
        </w:tc>
        <w:tc>
          <w:tcPr>
            <w:tcW w:type="dxa" w:w="1080"/>
          </w:tcPr>
          <w:p>
            <w:r>
              <w:t>InventoryEngine, parts</w:t>
            </w:r>
          </w:p>
        </w:tc>
        <w:tc>
          <w:tcPr>
            <w:tcW w:type="dxa" w:w="1080"/>
          </w:tcPr>
          <w:p>
            <w:r>
              <w:t>form</w:t>
            </w:r>
          </w:p>
        </w:tc>
        <w:tc>
          <w:tcPr>
            <w:tcW w:type="dxa" w:w="1080"/>
          </w:tcPr>
          <w:p>
            <w:r>
              <w:t>persist</w:t>
            </w:r>
          </w:p>
        </w:tc>
        <w:tc>
          <w:tcPr>
            <w:tcW w:type="dxa" w:w="1080"/>
          </w:tcPr>
          <w:p>
            <w:r>
              <w:t>high write</w:t>
            </w:r>
          </w:p>
        </w:tc>
        <w:tc>
          <w:tcPr>
            <w:tcW w:type="dxa" w:w="1080"/>
          </w:tcPr>
          <w:p>
            <w:r>
              <w:t>warehouse tests</w:t>
            </w:r>
          </w:p>
        </w:tc>
        <w:tc>
          <w:tcPr>
            <w:tcW w:type="dxa" w:w="1080"/>
          </w:tcPr>
          <w:p>
            <w:r>
              <w:t>HIGH — NOT moved</w:t>
            </w:r>
          </w:p>
        </w:tc>
      </w:tr>
      <w:tr>
        <w:tc>
          <w:tcPr>
            <w:tcW w:type="dxa" w:w="1080"/>
          </w:tcPr>
          <w:p>
            <w:r>
              <w:t>Invoice complete</w:t>
            </w:r>
          </w:p>
        </w:tc>
        <w:tc>
          <w:tcPr>
            <w:tcW w:type="dxa" w:w="1080"/>
          </w:tcPr>
          <w:p>
            <w:r>
              <w:t>closeInv / saveInv</w:t>
            </w:r>
          </w:p>
        </w:tc>
        <w:tc>
          <w:tcPr>
            <w:tcW w:type="dxa" w:w="1080"/>
          </w:tcPr>
          <w:p>
            <w:r>
              <w:t>inventory, defective</w:t>
            </w:r>
          </w:p>
        </w:tc>
        <w:tc>
          <w:tcPr>
            <w:tcW w:type="dxa" w:w="1080"/>
          </w:tcPr>
          <w:p>
            <w:r>
              <w:t>form</w:t>
            </w:r>
          </w:p>
        </w:tc>
        <w:tc>
          <w:tcPr>
            <w:tcW w:type="dxa" w:w="1080"/>
          </w:tcPr>
          <w:p>
            <w:r>
              <w:t>stock -1, persist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invoice tests</w:t>
            </w:r>
          </w:p>
        </w:tc>
        <w:tc>
          <w:tcPr>
            <w:tcW w:type="dxa" w:w="1080"/>
          </w:tcPr>
          <w:p>
            <w:r>
              <w:t>HIGH — persist stays JS</w:t>
            </w:r>
          </w:p>
        </w:tc>
      </w:tr>
      <w:tr>
        <w:tc>
          <w:tcPr>
            <w:tcW w:type="dxa" w:w="1080"/>
          </w:tcPr>
          <w:p>
            <w:r>
              <w:t>Customer</w:t>
            </w:r>
          </w:p>
        </w:tc>
        <w:tc>
          <w:tcPr>
            <w:tcW w:type="dxa" w:w="1080"/>
          </w:tcPr>
          <w:p>
            <w:r>
              <w:t>savePBContact</w:t>
            </w:r>
          </w:p>
        </w:tc>
        <w:tc>
          <w:tcPr>
            <w:tcW w:type="dxa" w:w="1080"/>
          </w:tcPr>
          <w:p>
            <w:r>
              <w:t>phonebook fn/ln</w:t>
            </w:r>
          </w:p>
        </w:tc>
        <w:tc>
          <w:tcPr>
            <w:tcW w:type="dxa" w:w="1080"/>
          </w:tcPr>
          <w:p>
            <w:r>
              <w:t>form</w:t>
            </w:r>
          </w:p>
        </w:tc>
        <w:tc>
          <w:tcPr>
            <w:tcW w:type="dxa" w:w="1080"/>
          </w:tcPr>
          <w:p>
            <w:r>
              <w:t>persist</w:t>
            </w:r>
          </w:p>
        </w:tc>
        <w:tc>
          <w:tcPr>
            <w:tcW w:type="dxa" w:w="1080"/>
          </w:tcPr>
          <w:p>
            <w:r>
              <w:t>write</w:t>
            </w:r>
          </w:p>
        </w:tc>
        <w:tc>
          <w:tcPr>
            <w:tcW w:type="dxa" w:w="1080"/>
          </w:tcPr>
          <w:p>
            <w:r>
              <w:t>phonebook tests</w:t>
            </w:r>
          </w:p>
        </w:tc>
        <w:tc>
          <w:tcPr>
            <w:tcW w:type="dxa" w:w="1080"/>
          </w:tcPr>
          <w:p>
            <w:r>
              <w:t>not moved (storage + fn/ln)</w:t>
            </w:r>
          </w:p>
        </w:tc>
      </w:tr>
      <w:tr>
        <w:tc>
          <w:tcPr>
            <w:tcW w:type="dxa" w:w="1080"/>
          </w:tcPr>
          <w:p>
            <w:r>
              <w:t>Product</w:t>
            </w:r>
          </w:p>
        </w:tc>
        <w:tc>
          <w:tcPr>
            <w:tcW w:type="dxa" w:w="1080"/>
          </w:tcPr>
          <w:p>
            <w:r>
              <w:t>saveProd / saveInvItem</w:t>
            </w:r>
          </w:p>
        </w:tc>
        <w:tc>
          <w:tcPr>
            <w:tcW w:type="dxa" w:w="1080"/>
          </w:tcPr>
          <w:p>
            <w:r>
              <w:t>products, inventory</w:t>
            </w:r>
          </w:p>
        </w:tc>
        <w:tc>
          <w:tcPr>
            <w:tcW w:type="dxa" w:w="1080"/>
          </w:tcPr>
          <w:p>
            <w:r>
              <w:t>form</w:t>
            </w:r>
          </w:p>
        </w:tc>
        <w:tc>
          <w:tcPr>
            <w:tcW w:type="dxa" w:w="1080"/>
          </w:tcPr>
          <w:p>
            <w:r>
              <w:t>persist</w:t>
            </w:r>
          </w:p>
        </w:tc>
        <w:tc>
          <w:tcPr>
            <w:tcW w:type="dxa" w:w="1080"/>
          </w:tcPr>
          <w:p>
            <w:r>
              <w:t>write</w:t>
            </w:r>
          </w:p>
        </w:tc>
        <w:tc>
          <w:tcPr>
            <w:tcW w:type="dxa" w:w="1080"/>
          </w:tcPr>
          <w:p>
            <w:r>
              <w:t>product tests</w:t>
            </w:r>
          </w:p>
        </w:tc>
        <w:tc>
          <w:tcPr>
            <w:tcW w:type="dxa" w:w="1080"/>
          </w:tcPr>
          <w:p>
            <w:r>
              <w:t>not moved</w:t>
            </w:r>
          </w:p>
        </w:tc>
      </w:tr>
      <w:tr>
        <w:tc>
          <w:tcPr>
            <w:tcW w:type="dxa" w:w="1080"/>
          </w:tcPr>
          <w:p>
            <w:r>
              <w:t>Device (invoice rows)</w:t>
            </w:r>
          </w:p>
        </w:tc>
        <w:tc>
          <w:tcPr>
            <w:tcW w:type="dxa" w:w="1080"/>
          </w:tcPr>
          <w:p>
            <w:r>
              <w:t>getData items</w:t>
            </w:r>
          </w:p>
        </w:tc>
        <w:tc>
          <w:tcPr>
            <w:tcW w:type="dxa" w:w="1080"/>
          </w:tcPr>
          <w:p>
            <w:r>
              <w:t>DOM</w:t>
            </w:r>
          </w:p>
        </w:tc>
        <w:tc>
          <w:tcPr>
            <w:tcW w:type="dxa" w:w="1080"/>
          </w:tcPr>
          <w:p>
            <w:r>
              <w:t>fields</w:t>
            </w:r>
          </w:p>
        </w:tc>
        <w:tc>
          <w:tcPr>
            <w:tcW w:type="dxa" w:w="1080"/>
          </w:tcPr>
          <w:p>
            <w:r>
              <w:t>items[]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invoice</w:t>
            </w:r>
          </w:p>
        </w:tc>
        <w:tc>
          <w:tcPr>
            <w:tcW w:type="dxa" w:w="1080"/>
          </w:tcPr>
          <w:p>
            <w:r>
              <w:t>UI collection stays</w:t>
            </w:r>
          </w:p>
        </w:tc>
      </w:tr>
      <w:tr>
        <w:tc>
          <w:tcPr>
            <w:tcW w:type="dxa" w:w="1080"/>
          </w:tcPr>
          <w:p>
            <w:r>
              <w:t>Service catalog</w:t>
            </w:r>
          </w:p>
        </w:tc>
        <w:tc>
          <w:tcPr>
            <w:tcW w:type="dxa" w:w="1080"/>
          </w:tcPr>
          <w:p>
            <w:r>
              <w:t>saveSvc</w:t>
            </w:r>
          </w:p>
        </w:tc>
        <w:tc>
          <w:tcPr>
            <w:tcW w:type="dxa" w:w="1080"/>
          </w:tcPr>
          <w:p>
            <w:r>
              <w:t>services[]</w:t>
            </w:r>
          </w:p>
        </w:tc>
        <w:tc>
          <w:tcPr>
            <w:tcW w:type="dxa" w:w="1080"/>
          </w:tcPr>
          <w:p>
            <w:r>
              <w:t>form</w:t>
            </w:r>
          </w:p>
        </w:tc>
        <w:tc>
          <w:tcPr>
            <w:tcW w:type="dxa" w:w="1080"/>
          </w:tcPr>
          <w:p>
            <w:r>
              <w:t>persist</w:t>
            </w:r>
          </w:p>
        </w:tc>
        <w:tc>
          <w:tcPr>
            <w:tcW w:type="dxa" w:w="1080"/>
          </w:tcPr>
          <w:p>
            <w:r>
              <w:t>write</w:t>
            </w:r>
          </w:p>
        </w:tc>
        <w:tc>
          <w:tcPr>
            <w:tcW w:type="dxa" w:w="1080"/>
          </w:tcPr>
          <w:p>
            <w:r>
              <w:t>parts/services</w:t>
            </w:r>
          </w:p>
        </w:tc>
        <w:tc>
          <w:tcPr>
            <w:tcW w:type="dxa" w:w="1080"/>
          </w:tcPr>
          <w:p>
            <w:r>
              <w:t>not moved</w:t>
            </w:r>
          </w:p>
        </w:tc>
      </w:tr>
      <w:tr>
        <w:tc>
          <w:tcPr>
            <w:tcW w:type="dxa" w:w="1080"/>
          </w:tcPr>
          <w:p>
            <w:r>
              <w:t>Technician</w:t>
            </w:r>
          </w:p>
        </w:tc>
        <w:tc>
          <w:tcPr>
            <w:tcW w:type="dxa" w:w="1080"/>
          </w:tcPr>
          <w:p>
            <w:r>
              <w:t>ROLE service pages; no assign-tech engine</w:t>
            </w:r>
          </w:p>
        </w:tc>
        <w:tc>
          <w:tcPr>
            <w:tcW w:type="dxa" w:w="1080"/>
          </w:tcPr>
          <w:p>
            <w:r>
              <w:t>roles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roles</w:t>
            </w:r>
          </w:p>
        </w:tc>
        <w:tc>
          <w:tcPr>
            <w:tcW w:type="dxa" w:w="1080"/>
          </w:tcPr>
          <w:p>
            <w:r>
              <w:t>no separate workflow exists — not invented</w:t>
            </w:r>
          </w:p>
        </w:tc>
      </w:tr>
      <w:tr>
        <w:tc>
          <w:tcPr>
            <w:tcW w:type="dxa" w:w="1080"/>
          </w:tcPr>
          <w:p>
            <w:r>
              <w:t>Tasks</w:t>
            </w:r>
          </w:p>
        </w:tc>
        <w:tc>
          <w:tcPr>
            <w:tcW w:type="dxa" w:w="1080"/>
          </w:tcPr>
          <w:p>
            <w:r>
              <w:t>saveTask</w:t>
            </w:r>
          </w:p>
        </w:tc>
        <w:tc>
          <w:tcPr>
            <w:tcW w:type="dxa" w:w="1080"/>
          </w:tcPr>
          <w:p>
            <w:r>
              <w:t>tasks[]</w:t>
            </w:r>
          </w:p>
        </w:tc>
        <w:tc>
          <w:tcPr>
            <w:tcW w:type="dxa" w:w="1080"/>
          </w:tcPr>
          <w:p>
            <w:r>
              <w:t>form</w:t>
            </w:r>
          </w:p>
        </w:tc>
        <w:tc>
          <w:tcPr>
            <w:tcW w:type="dxa" w:w="1080"/>
          </w:tcPr>
          <w:p>
            <w:r>
              <w:t>persist</w:t>
            </w:r>
          </w:p>
        </w:tc>
        <w:tc>
          <w:tcPr>
            <w:tcW w:type="dxa" w:w="1080"/>
          </w:tcPr>
          <w:p>
            <w:r>
              <w:t>write</w:t>
            </w:r>
          </w:p>
        </w:tc>
        <w:tc>
          <w:tcPr>
            <w:tcW w:type="dxa" w:w="1080"/>
          </w:tcPr>
          <w:p>
            <w:r>
              <w:t>tasks tests</w:t>
            </w:r>
          </w:p>
        </w:tc>
        <w:tc>
          <w:tcPr>
            <w:tcW w:type="dxa" w:w="1080"/>
          </w:tcPr>
          <w:p>
            <w:r>
              <w:t>not moved</w:t>
            </w:r>
          </w:p>
        </w:tc>
      </w:tr>
      <w:tr>
        <w:tc>
          <w:tcPr>
            <w:tcW w:type="dxa" w:w="1080"/>
          </w:tcPr>
          <w:p>
            <w:r>
              <w:t>Reports</w:t>
            </w:r>
          </w:p>
        </w:tc>
        <w:tc>
          <w:tcPr>
            <w:tcW w:type="dxa" w:w="1080"/>
          </w:tcPr>
          <w:p>
            <w:r>
              <w:t>dashboard / financial / kardex UI</w:t>
            </w:r>
          </w:p>
        </w:tc>
        <w:tc>
          <w:tcPr>
            <w:tcW w:type="dxa" w:w="1080"/>
          </w:tcPr>
          <w:p>
            <w:r>
              <w:t>all stores</w:t>
            </w:r>
          </w:p>
        </w:tc>
        <w:tc>
          <w:tcPr>
            <w:tcW w:type="dxa" w:w="1080"/>
          </w:tcPr>
          <w:p>
            <w:r>
              <w:t>filters</w:t>
            </w:r>
          </w:p>
        </w:tc>
        <w:tc>
          <w:tcPr>
            <w:tcW w:type="dxa" w:w="1080"/>
          </w:tcPr>
          <w:p>
            <w:r>
              <w:t>HTML/Excel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report tests</w:t>
            </w:r>
          </w:p>
        </w:tc>
        <w:tc>
          <w:tcPr>
            <w:tcW w:type="dxa" w:w="1080"/>
          </w:tcPr>
          <w:p>
            <w:r>
              <w:t>not moved</w:t>
            </w:r>
          </w:p>
        </w:tc>
      </w:tr>
      <w:tr>
        <w:tc>
          <w:tcPr>
            <w:tcW w:type="dxa" w:w="1080"/>
          </w:tcPr>
          <w:p>
            <w:r>
              <w:t>Discount/tax</w:t>
            </w:r>
          </w:p>
        </w:tc>
        <w:tc>
          <w:tcPr>
            <w:tcW w:type="dxa" w:w="1080"/>
          </w:tcPr>
          <w:p>
            <w:r>
              <w:t>percent on line only; no separate tax engine</w:t>
            </w:r>
          </w:p>
        </w:tc>
        <w:tc>
          <w:tcPr>
            <w:tcW w:type="dxa" w:w="1080"/>
          </w:tcPr>
          <w:p>
            <w:r>
              <w:t>calcT / sale</w:t>
            </w:r>
          </w:p>
        </w:tc>
        <w:tc>
          <w:tcPr>
            <w:tcW w:type="dxa" w:w="1080"/>
          </w:tcPr>
          <w:p>
            <w:r>
              <w:t>%</w:t>
            </w:r>
          </w:p>
        </w:tc>
        <w:tc>
          <w:tcPr>
            <w:tcW w:type="dxa" w:w="1080"/>
          </w:tcPr>
          <w:p>
            <w:r>
              <w:t>rounded amount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calcT</w:t>
            </w:r>
          </w:p>
        </w:tc>
        <w:tc>
          <w:tcPr>
            <w:tcW w:type="dxa" w:w="1080"/>
          </w:tcPr>
          <w:p>
            <w:r>
              <w:t>MOVED as line formula; no VAT invented</w:t>
            </w:r>
          </w:p>
        </w:tc>
      </w:tr>
      <w:tr>
        <w:tc>
          <w:tcPr>
            <w:tcW w:type="dxa" w:w="1080"/>
          </w:tcPr>
          <w:p>
            <w:r>
              <w:t>Finance deposit</w:t>
            </w:r>
          </w:p>
        </w:tc>
        <w:tc>
          <w:tcPr>
            <w:tcW w:type="dxa" w:w="1080"/>
          </w:tcPr>
          <w:p>
            <w:r>
              <w:t>depositIntoAccount</w:t>
            </w:r>
          </w:p>
        </w:tc>
        <w:tc>
          <w:tcPr>
            <w:tcW w:type="dxa" w:w="1080"/>
          </w:tcPr>
          <w:p>
            <w:r>
              <w:t>accounts</w:t>
            </w:r>
          </w:p>
        </w:tc>
        <w:tc>
          <w:tcPr>
            <w:tcW w:type="dxa" w:w="1080"/>
          </w:tcPr>
          <w:p>
            <w:r>
              <w:t>amount</w:t>
            </w:r>
          </w:p>
        </w:tc>
        <w:tc>
          <w:tcPr>
            <w:tcW w:type="dxa" w:w="1080"/>
          </w:tcPr>
          <w:p>
            <w:r>
              <w:t>persist + emit</w:t>
            </w:r>
          </w:p>
        </w:tc>
        <w:tc>
          <w:tcPr>
            <w:tcW w:type="dxa" w:w="1080"/>
          </w:tcPr>
          <w:p>
            <w:r>
              <w:t>write</w:t>
            </w:r>
          </w:p>
        </w:tc>
        <w:tc>
          <w:tcPr>
            <w:tcW w:type="dxa" w:w="1080"/>
          </w:tcPr>
          <w:p>
            <w:r>
              <w:t>accounts</w:t>
            </w:r>
          </w:p>
        </w:tc>
        <w:tc>
          <w:tcPr>
            <w:tcW w:type="dxa" w:w="1080"/>
          </w:tcPr>
          <w:p>
            <w:r>
              <w:t>rule check only</w:t>
            </w:r>
          </w:p>
        </w:tc>
      </w:tr>
    </w:tbl>
    <w:p>
      <w:pPr>
        <w:pStyle w:val="Heading1"/>
      </w:pPr>
      <w:r>
        <w:t>4. Logic moved</w:t>
      </w:r>
    </w:p>
    <w:p>
      <w:pPr>
        <w:pStyle w:val="ListBullet"/>
      </w:pPr>
      <w:r>
        <w:t>CalculationEngine: warrantyEndDate, balance, finalAmount, availableStock, reorderPoint, sla, addJalaliMonths</w:t>
      </w:r>
    </w:p>
    <w:p>
      <w:pPr>
        <w:pStyle w:val="ListBullet"/>
      </w:pPr>
      <w:r>
        <w:t>InvoicePricing: invoice line (est/disc/fin), invoice totals, sale line, sale total</w:t>
      </w:r>
    </w:p>
    <w:p>
      <w:pPr>
        <w:pStyle w:val="ListBullet"/>
      </w:pPr>
      <w:r>
        <w:t>PaymentRules: withdraw validity, deposit amount, remaining</w:t>
      </w:r>
    </w:p>
    <w:p>
      <w:pPr>
        <w:pStyle w:val="ListBullet"/>
      </w:pPr>
      <w:r>
        <w:t>InventoryCore: stock snapshot, reserve, release, consume (max 0), addStock, normalize warehouse, kardex, lowStock, search, value, deadStock, consumed</w:t>
      </w:r>
    </w:p>
    <w:p>
      <w:pPr>
        <w:pStyle w:val="ListBullet"/>
      </w:pPr>
      <w:r>
        <w:t>WarrantyWorkflow: canTransition open→closed, applyTransition (pure, closedAt passed in), closeMissing basic fields</w:t>
      </w:r>
    </w:p>
    <w:p>
      <w:pPr>
        <w:pStyle w:val="ListBullet"/>
      </w:pPr>
      <w:r>
        <w:t>PartsAdvisor: suggestPartsForCase</w:t>
      </w:r>
    </w:p>
    <w:p>
      <w:pPr>
        <w:pStyle w:val="ListBullet"/>
      </w:pPr>
      <w:r>
        <w:t>Host: RunBusiness(name, json) → BusinessFacade → Core. Not a second Host.</w:t>
      </w:r>
    </w:p>
    <w:p>
      <w:pPr>
        <w:pStyle w:val="Heading1"/>
      </w:pPr>
      <w:r>
        <w:t>5. Logic not moved</w:t>
      </w:r>
    </w:p>
    <w:p>
      <w:pPr>
        <w:pStyle w:val="ListBullet"/>
      </w:pPr>
      <w:r>
        <w:t>saveWar / closeWar (stock side effects, defective warehouse, deposit prompt, DOM, fdt timestamps)</w:t>
      </w:r>
    </w:p>
    <w:p>
      <w:pPr>
        <w:pStyle w:val="ListBullet"/>
      </w:pPr>
      <w:r>
        <w:t>saveWarehouseDoc / applyStocktakeAdjustments / applyStockByWarehouse persistence</w:t>
      </w:r>
    </w:p>
    <w:p>
      <w:pPr>
        <w:pStyle w:val="ListBullet"/>
      </w:pPr>
      <w:r>
        <w:t>saveInv / closeInv persistence and inventory[code].qty writes</w:t>
      </w:r>
    </w:p>
    <w:p>
      <w:pPr>
        <w:pStyle w:val="ListBullet"/>
      </w:pPr>
      <w:r>
        <w:t>Customer/product/task CRUD and localStorage</w:t>
      </w:r>
    </w:p>
    <w:p>
      <w:pPr>
        <w:pStyle w:val="ListBullet"/>
      </w:pPr>
      <w:r>
        <w:t>Backup/restore, print engine, LAN workspace, audit storage</w:t>
      </w:r>
    </w:p>
    <w:p>
      <w:pPr>
        <w:pStyle w:val="ListBullet"/>
      </w:pPr>
      <w:r>
        <w:t>Reports</w:t>
      </w:r>
    </w:p>
    <w:p>
      <w:pPr>
        <w:pStyle w:val="ListBullet"/>
      </w:pPr>
      <w:r>
        <w:t>applyWarrantyTransition HTML wrapper (closedAt = fdt() would fail dual-run)</w:t>
      </w:r>
    </w:p>
    <w:p>
      <w:pPr>
        <w:pStyle w:val="ListBullet"/>
      </w:pPr>
      <w:r>
        <w:t>JS implementations of the moved formulas (kept as HTML-only fallback + dual-run source)</w:t>
      </w:r>
    </w:p>
    <w:p>
      <w:pPr>
        <w:pStyle w:val="Heading1"/>
      </w:pPr>
      <w:r>
        <w:t>6. Architecture Before</w:t>
      </w:r>
    </w:p>
    <w:p>
      <w:r>
        <w:t>UI (HTML/JS) owned display AND formulas AND localStorage. Host Object was a shell (files, print, network, Phase 1 security). SmartCore/InventoryEngine were JS objects.</w:t>
      </w:r>
    </w:p>
    <w:p>
      <w:pPr>
        <w:pStyle w:val="Heading1"/>
      </w:pPr>
      <w:r>
        <w:t>7. Architecture After (actual)</w:t>
      </w:r>
    </w:p>
    <w:p>
      <w:r>
        <w:br/>
        <w:t>UI (Sirman_Final.html)</w:t>
        <w:br/>
        <w:t xml:space="preserve">  → Host Boundary (sirmanHost.RunBusiness + existing methods)</w:t>
        <w:br/>
        <w:t xml:space="preserve">      → Application: BusinessFacade + SecurityFacade</w:t>
        <w:br/>
        <w:t xml:space="preserve">          → Business Core: Calculation / InvoicePricing / PaymentRules / InventoryCore / WarrantyWorkflow / PartsAdvisor</w:t>
        <w:br/>
        <w:t xml:space="preserve">              → Domain contracts + BusinessEvent record (no EventBus)</w:t>
        <w:br/>
        <w:t xml:space="preserve">          → Data: CurrentStorage marker + IInventoryRepository / IInvoiceRepository / ICustomerRepository (empty; Phase 3)</w:t>
        <w:br/>
        <w:t xml:space="preserve">              → Current storage still HTML localStorage (JS writes)</w:t>
        <w:br/>
      </w:r>
    </w:p>
    <w:p>
      <w:r>
        <w:t>HTML-only skips Host and uses the same JS formulas.</w:t>
      </w:r>
    </w:p>
    <w:p>
      <w:pPr>
        <w:pStyle w:val="Heading1"/>
      </w:pPr>
      <w:r>
        <w:t>8. Application Services created</w:t>
      </w:r>
    </w:p>
    <w:p>
      <w:pPr>
        <w:pStyle w:val="ListBullet"/>
      </w:pPr>
      <w:r>
        <w:t>BusinessFacade.Run(op, json) — dispatcher for use-cases listed above</w:t>
      </w:r>
    </w:p>
    <w:p>
      <w:pPr>
        <w:pStyle w:val="ListBullet"/>
      </w:pPr>
      <w:r>
        <w:t>SecurityFacade (Phase 1) unchanged</w:t>
      </w:r>
    </w:p>
    <w:p>
      <w:pPr>
        <w:pStyle w:val="ListBullet"/>
      </w:pPr>
      <w:r>
        <w:t>Did not create empty CustomerService/InvoiceService wrappers that would duplicate names without owning data.</w:t>
      </w:r>
    </w:p>
    <w:p>
      <w:pPr>
        <w:pStyle w:val="Heading1"/>
      </w:pPr>
      <w:r>
        <w:t>9. Domain components created</w:t>
      </w:r>
    </w:p>
    <w:p>
      <w:pPr>
        <w:pStyle w:val="ListBullet"/>
      </w:pPr>
      <w:r>
        <w:t>BusinessEvent record</w:t>
      </w:r>
    </w:p>
    <w:p>
      <w:pPr>
        <w:pStyle w:val="ListBullet"/>
      </w:pPr>
      <w:r>
        <w:t>SmartCoreContract / InventoryEngineContract updated to describe the real Phase 2 path</w:t>
      </w:r>
    </w:p>
    <w:p>
      <w:pPr>
        <w:pStyle w:val="ListBullet"/>
      </w:pPr>
      <w:r>
        <w:t>No duplicate entity classes for Customer/Invoice rows (those remain JS objects until Phase 3 storage).</w:t>
      </w:r>
    </w:p>
    <w:p>
      <w:pPr>
        <w:pStyle w:val="Heading1"/>
      </w:pPr>
      <w:r>
        <w:t>10. Inventory architecture</w:t>
      </w:r>
    </w:p>
    <w:p>
      <w:r>
        <w:t>Single engine: JS InventoryEngine still the in-app API. InventoryCore is the C# port of the same functions on JSON snapshots. No second warehouse. Consume matches Math.max(0, qty-n); insufficient stock is still allowed after UI confirm (existing rule, not tightened).</w:t>
      </w:r>
    </w:p>
    <w:p>
      <w:pPr>
        <w:pStyle w:val="Heading1"/>
      </w:pPr>
      <w:r>
        <w:t>11. Invoice / Pricing architecture</w:t>
      </w:r>
    </w:p>
    <w:p>
      <w:r>
        <w:t>Line formula extracted (disc&gt;0 → est-da, else manual fin). Sale uses Math.round(qty*(price-discAmt)). Totals are sums. No tax engine was invented. Persistence of invoices/sales remains JS.</w:t>
      </w:r>
    </w:p>
    <w:p>
      <w:pPr>
        <w:pStyle w:val="Heading1"/>
      </w:pPr>
      <w:r>
        <w:t>12. Warranty architecture</w:t>
      </w:r>
    </w:p>
    <w:p>
      <w:r>
        <w:t>Transition rule open→closed is in Core and dual-run on canWarrantyTransition. Full close/save stays JS (multi-step: missing fields UI, defective stock, optional deposit, emit warranty:closed). God-object not exploded in one step.</w:t>
      </w:r>
    </w:p>
    <w:p>
      <w:pPr>
        <w:pStyle w:val="Heading1"/>
      </w:pPr>
      <w:r>
        <w:t>13. Service / Repair architecture</w:t>
      </w:r>
    </w:p>
    <w:p>
      <w:r>
        <w:t>Existing cases are warranty records (initialService paths). Create/receive/assign-tech/QC as separate verbs do not exist as engines. Not invented. Parts consumed-in-service listing is in InventoryCore.Consumed.</w:t>
      </w:r>
    </w:p>
    <w:p>
      <w:pPr>
        <w:pStyle w:val="Heading1"/>
      </w:pPr>
      <w:r>
        <w:t>14. Data Access boundary</w:t>
      </w:r>
    </w:p>
    <w:p>
      <w:r>
        <w:t>CurrentStorage.Kind = html-localStorage-indexeddb. Interfaces IInventoryRepository, IInvoiceRepository, ICustomerRepository exist as Phase 3 placeholders only. Core never reads localStorage. Snapshots travel as JSON through Host.</w:t>
      </w:r>
    </w:p>
    <w:p>
      <w:pPr>
        <w:pStyle w:val="Heading1"/>
      </w:pPr>
      <w:r>
        <w:t>15. Host boundary</w:t>
      </w:r>
    </w:p>
    <w:p>
      <w:r>
        <w:t>One new method: RunBusiness(string name, string json). Always allowed (pure compute / snapshot in, snapshot out). Does not write disk. Existing gated methods unchanged. Host is still a bridge, not a god object.</w:t>
      </w:r>
    </w:p>
    <w:p>
      <w:pPr>
        <w:pStyle w:val="Heading1"/>
      </w:pPr>
      <w:r>
        <w:t>16. Dependency map</w:t>
      </w:r>
    </w:p>
    <w:p>
      <w:r>
        <w:t>HTML → Host (Windows only) → Application (BusinessFacade) → Business/Domain. Domain has no using of WinForms, WebView2, or localStorage. Infrastructure/SafeError used only for user-facing JSON errors.</w:t>
      </w:r>
    </w:p>
    <w:p>
      <w:pPr>
        <w:pStyle w:val="Heading1"/>
      </w:pPr>
      <w:r>
        <w:t>17. Duplicate logic removed</w:t>
      </w:r>
    </w:p>
    <w:p>
      <w:r>
        <w:t>None of the original JS formula functions were deleted. Removing them would break HTML-only and the existing extractFunctionSource tests. Dual-run uses both copies as a comparison, not two competing products. Documented as remaining debt until Phase 3/4 when HTML-only may retire.</w:t>
      </w:r>
    </w:p>
    <w:p>
      <w:pPr>
        <w:pStyle w:val="Heading1"/>
      </w:pPr>
      <w:r>
        <w:t>18. Tests added</w:t>
      </w:r>
    </w:p>
    <w:p>
      <w:pPr>
        <w:pStyle w:val="ListBullet"/>
      </w:pPr>
      <w:r>
        <w:t>C#: CalculationEngineTests, InvoicePricingTests, PaymentRulesTests, WarrantyWorkflowTests, InventoryCoreTests, BusinessFacadeDualRunTests (vectors copied from HTML SmartCore/Inventory tests)</w:t>
      </w:r>
    </w:p>
    <w:p>
      <w:pPr>
        <w:pStyle w:val="ListBullet"/>
      </w:pPr>
      <w:r>
        <w:t>HTML: group «هسته کسب‌وکار فاز ۲» — RunBusiness allow-list, calcInvoiceLine without Host, dualPrefer keeps JS on mismatch</w:t>
      </w:r>
    </w:p>
    <w:p>
      <w:pPr>
        <w:pStyle w:val="ListBullet"/>
      </w:pPr>
      <w:r>
        <w:t>Proven red on 1405.5.23θ copy: calcInvoiceLine and runBusinessCore absent</w:t>
      </w:r>
    </w:p>
    <w:p>
      <w:pPr>
        <w:pStyle w:val="Heading1"/>
      </w:pPr>
      <w:r>
        <w:t>19. Tests Before / 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Suite</w:t>
            </w:r>
          </w:p>
        </w:tc>
        <w:tc>
          <w:tcPr>
            <w:tcW w:type="dxa" w:w="2880"/>
          </w:tcPr>
          <w:p>
            <w:r>
              <w:t>Before (θ)</w:t>
            </w:r>
          </w:p>
        </w:tc>
        <w:tc>
          <w:tcPr>
            <w:tcW w:type="dxa" w:w="2880"/>
          </w:tcPr>
          <w:p>
            <w:r>
              <w:t>After (ι)</w:t>
            </w:r>
          </w:p>
        </w:tc>
      </w:tr>
      <w:tr>
        <w:tc>
          <w:tcPr>
            <w:tcW w:type="dxa" w:w="2880"/>
          </w:tcPr>
          <w:p>
            <w:r>
              <w:t>test_laegh.js</w:t>
            </w:r>
          </w:p>
        </w:tc>
        <w:tc>
          <w:tcPr>
            <w:tcW w:type="dxa" w:w="2880"/>
          </w:tcPr>
          <w:p>
            <w:r>
              <w:t>495 / 495</w:t>
            </w:r>
          </w:p>
        </w:tc>
        <w:tc>
          <w:tcPr>
            <w:tcW w:type="dxa" w:w="2880"/>
          </w:tcPr>
          <w:p>
            <w:r>
              <w:t>496 / 496</w:t>
            </w:r>
          </w:p>
        </w:tc>
      </w:tr>
      <w:tr>
        <w:tc>
          <w:tcPr>
            <w:tcW w:type="dxa" w:w="2880"/>
          </w:tcPr>
          <w:p>
            <w:r>
              <w:t>Sirman.Core.Tests</w:t>
            </w:r>
          </w:p>
        </w:tc>
        <w:tc>
          <w:tcPr>
            <w:tcW w:type="dxa" w:w="2880"/>
          </w:tcPr>
          <w:p>
            <w:r>
              <w:t>24 / 24</w:t>
            </w:r>
          </w:p>
        </w:tc>
        <w:tc>
          <w:tcPr>
            <w:tcW w:type="dxa" w:w="2880"/>
          </w:tcPr>
          <w:p>
            <w:r>
              <w:t>38 / 38</w:t>
            </w:r>
          </w:p>
        </w:tc>
      </w:tr>
    </w:tbl>
    <w:p>
      <w:pPr>
        <w:pStyle w:val="Heading1"/>
      </w:pPr>
      <w:r>
        <w:t>20. Problems found</w:t>
      </w:r>
    </w:p>
    <w:p>
      <w:pPr>
        <w:pStyle w:val="ListBullet"/>
      </w:pPr>
      <w:r>
        <w:t>applyWarrantyTransition uses fdt() so a naive dual-run would disagree on closedAt — wrapper not added</w:t>
      </w:r>
    </w:p>
    <w:p>
      <w:pPr>
        <w:pStyle w:val="ListBullet"/>
      </w:pPr>
      <w:r>
        <w:t>calcT is DOM-coupled; only the numeric line formula could move</w:t>
      </w:r>
    </w:p>
    <w:p>
      <w:pPr>
        <w:pStyle w:val="ListBullet"/>
      </w:pPr>
      <w:r>
        <w:t>Customer validator still expects name while UI uses fn/ln (Phase 1 debt)</w:t>
      </w:r>
    </w:p>
    <w:p>
      <w:pPr>
        <w:pStyle w:val="ListBullet"/>
      </w:pPr>
      <w:r>
        <w:t>warehouse vs inventory page keys still differ</w:t>
      </w:r>
    </w:p>
    <w:p>
      <w:pPr>
        <w:pStyle w:val="ListBullet"/>
      </w:pPr>
      <w:r>
        <w:t>JS Event bus remains the live bus; C# BusinessEvent is a type only</w:t>
      </w:r>
    </w:p>
    <w:p>
      <w:pPr>
        <w:pStyle w:val="Heading1"/>
      </w:pPr>
      <w:r>
        <w:t>21. Problems left unsolved on purpose</w:t>
      </w:r>
    </w:p>
    <w:p>
      <w:pPr>
        <w:pStyle w:val="ListBullet"/>
      </w:pPr>
      <w:r>
        <w:t>Did not delete JS duplicates (HTML-only + tests)</w:t>
      </w:r>
    </w:p>
    <w:p>
      <w:pPr>
        <w:pStyle w:val="ListBullet"/>
      </w:pPr>
      <w:r>
        <w:t>Did not move saveWar/closeWar/closeInv persistence</w:t>
      </w:r>
    </w:p>
    <w:p>
      <w:pPr>
        <w:pStyle w:val="ListBullet"/>
      </w:pPr>
      <w:r>
        <w:t>Did not build SQL or REST</w:t>
      </w:r>
    </w:p>
    <w:p>
      <w:pPr>
        <w:pStyle w:val="ListBullet"/>
      </w:pPr>
      <w:r>
        <w:t>Did not invent technician assignment / QC workflow</w:t>
      </w:r>
    </w:p>
    <w:p>
      <w:pPr>
        <w:pStyle w:val="ListBullet"/>
      </w:pPr>
      <w:r>
        <w:t>Did not make Core the writer of localStorage</w:t>
      </w:r>
    </w:p>
    <w:p>
      <w:pPr>
        <w:pStyle w:val="ListBullet"/>
      </w:pPr>
      <w:r>
        <w:t>Did not tighten consume-below-zero (UI still confirms and continues)</w:t>
      </w:r>
    </w:p>
    <w:p>
      <w:pPr>
        <w:pStyle w:val="Heading1"/>
      </w:pPr>
      <w:r>
        <w:t>22. Remaining technical debt</w:t>
      </w:r>
    </w:p>
    <w:p>
      <w:pPr>
        <w:pStyle w:val="ListBullet"/>
      </w:pPr>
      <w:r>
        <w:t>Data still in the browser</w:t>
      </w:r>
    </w:p>
    <w:p>
      <w:pPr>
        <w:pStyle w:val="ListBullet"/>
      </w:pPr>
      <w:r>
        <w:t>Dual copies of formulas until HTML-only is dropped</w:t>
      </w:r>
    </w:p>
    <w:p>
      <w:pPr>
        <w:pStyle w:val="ListBullet"/>
      </w:pPr>
      <w:r>
        <w:t>Warranty/invoice writes still multi-step without a unit-of-work</w:t>
      </w:r>
    </w:p>
    <w:p>
      <w:pPr>
        <w:pStyle w:val="ListBullet"/>
      </w:pPr>
      <w:r>
        <w:t>SecretStore still not DPAPI (Phase 1)</w:t>
      </w:r>
    </w:p>
    <w:p>
      <w:pPr>
        <w:pStyle w:val="ListBullet"/>
      </w:pPr>
      <w:r>
        <w:t>Empty repository interfaces await Phase 3 adapters</w:t>
      </w:r>
    </w:p>
    <w:p>
      <w:pPr>
        <w:pStyle w:val="Heading1"/>
      </w:pPr>
      <w:r>
        <w:t>23. Risks</w:t>
      </w:r>
    </w:p>
    <w:p>
      <w:pPr>
        <w:pStyle w:val="ListBullet"/>
      </w:pPr>
      <w:r>
        <w:t>If C# and JS drift, exe keeps JS (safe) but Core is ignored until tests catch it</w:t>
      </w:r>
    </w:p>
    <w:p>
      <w:pPr>
        <w:pStyle w:val="ListBullet"/>
      </w:pPr>
      <w:r>
        <w:t>JSON key/type mismatch on inventory.stock dual-run could log core_mismatch; local snapshot still used</w:t>
      </w:r>
    </w:p>
    <w:p>
      <w:pPr>
        <w:pStyle w:val="ListBullet"/>
      </w:pPr>
      <w:r>
        <w:t>RunBusiness is always-allowed compute — do not later add disk writes to it without a permission gate</w:t>
      </w:r>
    </w:p>
    <w:p>
      <w:pPr>
        <w:pStyle w:val="Heading1"/>
      </w:pPr>
      <w:r>
        <w:t>24. Proposed PHASE 3</w:t>
      </w:r>
    </w:p>
    <w:p>
      <w:r>
        <w:t>Central database behind the existing interfaces. Adapters replace JSON snapshots for Inventory/Invoice/Customer only after a dual-read period. Do not add public REST. Keep Host as the only UI↔Core path. Then persist consume/close as one unit-of-work in Core.</w:t>
      </w:r>
    </w:p>
    <w:p>
      <w:pPr>
        <w:pStyle w:val="Heading1"/>
      </w:pPr>
      <w:r>
        <w:t>25. WHAT EXISTS</w:t>
      </w:r>
    </w:p>
    <w:p>
      <w:r>
        <w:t>Sirman HTML app + WebView2 + Sirman.Core (security + business) + RunBusiness + JS fallback + localStorage.</w:t>
      </w:r>
    </w:p>
    <w:p>
      <w:pPr>
        <w:pStyle w:val="Heading1"/>
      </w:pPr>
      <w:r>
        <w:t>26. WHAT WAS MOVED</w:t>
      </w:r>
    </w:p>
    <w:p>
      <w:r>
        <w:t>Pure calculations, inventory snapshot/reserve math, invoice/sale line math, payment withdraw checks, warranty open→closed rule, part suggestions — into C# Business Core, called via Host when present.</w:t>
      </w:r>
    </w:p>
    <w:p>
      <w:pPr>
        <w:pStyle w:val="Heading1"/>
      </w:pPr>
      <w:r>
        <w:t>27. WHAT WAS REMOVED</w:t>
      </w:r>
    </w:p>
    <w:p>
      <w:r>
        <w:t>No product feature removed. No JS formula function deleted.</w:t>
      </w:r>
    </w:p>
    <w:p>
      <w:pPr>
        <w:pStyle w:val="Heading1"/>
      </w:pPr>
      <w:r>
        <w:t>28. WHAT WAS NOT TOUCHED</w:t>
      </w:r>
    </w:p>
    <w:p>
      <w:r>
        <w:t>UI framework, WebView2, backup format, LAN, print, SmartCore/InventoryEngine object names, Event Bus, localStorage schema, warranty save/close orchestration, warehouse document persistence, reports, REST/SQL.</w:t>
      </w:r>
    </w:p>
    <w:p>
      <w:pPr>
        <w:pStyle w:val="Heading1"/>
      </w:pPr>
      <w:r>
        <w:t>29. WHAT REMAINS</w:t>
      </w:r>
    </w:p>
    <w:p>
      <w:r>
        <w:t>Make Core the data writer (Phase 3). Then drop JS formula copies. Then network API (Phase 4).</w:t>
      </w:r>
    </w:p>
    <w:p>
      <w:pPr>
        <w:pStyle w:val="Heading1"/>
      </w:pPr>
      <w:r>
        <w:t>Architecture diagram (as built)</w:t>
      </w:r>
    </w:p>
    <w:p>
      <w:r>
        <w:br/>
        <w:t xml:space="preserve">                 UI  (Sirman_Final.html)</w:t>
        <w:br/>
        <w:t xml:space="preserve">                  │  display, forms, localStorage I/O</w:t>
        <w:br/>
        <w:t xml:space="preserve">                  ▼</w:t>
        <w:br/>
        <w:t xml:space="preserve">           Host Boundary</w:t>
        <w:br/>
        <w:t xml:space="preserve">         sirmanHost.RunBusiness</w:t>
        <w:br/>
        <w:t xml:space="preserve">         (+ existing file/print/network/security methods)</w:t>
        <w:br/>
        <w:t xml:space="preserve">                  │</w:t>
        <w:br/>
        <w:t xml:space="preserve">                  ▼</w:t>
        <w:br/>
        <w:t xml:space="preserve">          Application Services</w:t>
        <w:br/>
        <w:t xml:space="preserve">         BusinessFacade | SecurityFacade</w:t>
        <w:br/>
        <w:t xml:space="preserve">                  │</w:t>
        <w:br/>
        <w:t xml:space="preserve">                  ▼</w:t>
        <w:br/>
        <w:t xml:space="preserve">             Business Core</w:t>
        <w:br/>
        <w:t xml:space="preserve">        ┌─────────┼──────────┬────────────┐</w:t>
        <w:br/>
        <w:t xml:space="preserve">        ▼         ▼          ▼            ▼</w:t>
        <w:br/>
        <w:t xml:space="preserve">   Calculation  Inventory  Invoice/    Warranty</w:t>
        <w:br/>
        <w:t xml:space="preserve">   Engine       Core       Payment     Workflow</w:t>
        <w:br/>
        <w:t xml:space="preserve">        │         │          │            │</w:t>
        <w:br/>
        <w:t xml:space="preserve">        └─────────┼──────────┴────────────┘</w:t>
        <w:br/>
        <w:t xml:space="preserve">                  ▼</w:t>
        <w:br/>
        <w:t xml:space="preserve">             Data Access</w:t>
        <w:br/>
        <w:t xml:space="preserve">        CurrentStorage + empty</w:t>
        <w:br/>
        <w:t xml:space="preserve">        I*Repository (Phase 3)</w:t>
        <w:br/>
        <w:t xml:space="preserve">                  │</w:t>
        <w:br/>
        <w:t xml:space="preserve">                  ▼</w:t>
        <w:br/>
        <w:t xml:space="preserve">          Current Storage</w:t>
        <w:br/>
        <w:t xml:space="preserve">        localStorage / IndexedDB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sz w:val="22"/>
    </w:rPr>
  </w:style>
  <w:style w:type="table" w:default="1" w:styleId="TableNormal">
    <w:name w:val="Normal Table"/>
    <w:uiPriority w:val="99"/>
    <w:semiHidden/>
    <w:unhideWhenUsed/>
    <w:rPr>
      <w:rFonts w:ascii="Calibri" w:hAnsi="Calibri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