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#ifndef _TSL2591_H_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#define _TSL2591_H_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#define TSL2591_VISIBLE (2)       // channel 0 - channel 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#define TSL2591_INFRARED (1)      // channel 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#define TSL2591_FULLSPECTRUM (0)  // channel 0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#define TSL2591_ADDR (0x29)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#define TSL2591_ID (0x50)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#define TSL2591_READBIT (0x01)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#define TSL2591_COMMAND_BIT \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(0xA0)  // 1010 0000: bits 7 and 5 for 'command normal'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#define TSL2591_CLEAR_INT (0xE7)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#define TSL2591_TEST_INT (0xE4)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#define TSL2591_WORD_BIT (0x20)   // 1 = read/write word (rather than byte)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#define TSL2591_BLOCK_BIT (0x10)  // 1 = using block read/write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#define TSL2591_ENABLE_POWEROFF (0x00)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#define TSL2591_ENABLE_POWERON (0x01)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#define TSL2591_ENABLE_AEN \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(0x02)  // ALS Enable. This field activates ALS function.Writing a one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 // activates the ALS.Writing a zero disables the ALS.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#define TSL2591_ENABLE_AIEN \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(0x10)  // ALS Interrupt Enable. When asserted permits ALS interrupts to be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// generated, subject to the persist filter.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#define TSL2591_ENABLE_NPIEN \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(0x80)  // No Persist Interrupt Enable. When asserted NP Threshold conditions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  // will generate an interrupt, bypassing the persist filter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#define TSL2591_LUX_DF (408.0F)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#define TSL2591_LUX_COEFB (1.64F)  // CH0 coefficient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#define TSL2591_LUX_COEFC (0.59F)  // CH1 coefficient A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#define TSL2591_LUX_COEFD (0.86F)  // CH2 coefficient B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enum {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TSL2591_REGISTER_ENABLE = 0x00,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TSL2591_REGISTER_CONTROL = 0x01,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TSL2591_REGISTER_THRESHOLD_AILTL = 0x04,  // ALS low threshold lower byte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TSL2591_REGISTER_THRESHOLD_AILTH = 0x05,  // ALS low threshold upper byte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TSL2591_REGISTER_THRESHOLD_AIHTL = 0x06,  // ALS high threshold lower byte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TSL2591_REGISTER_THRESHOLD_AIHTH = 0x07,  // ALS high threshold upper byte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TSL2591_REGISTER_THRESHOLD_NPAILTL =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0x08,  // No Persist ALS low threshold lower byte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 // TSL2591_REGISTER_THRESHOLD_NPAILTH = 0x09,  // etc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TSL2591_REGISTER_THRESHOLD_NPAIHTL = 0x0A,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TSL2591_REGISTER_THRESHOLD_NPAIHTH = 0x0B,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TSL2591_REGISTER_PERSIST_FILTER = 0x0C,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TSL2591_REGISTER_PACKAGE_PID = 0x11,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TSL2591_REGISTER_DEVICE_ID = 0x12,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TSL2591_REGISTER_DEVICE_STATUS = 0x13,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TSL2591_REGISTER_CHAN0_LOW = 0x14,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TSL2591_REGISTER_CHAN0_HIGH = 0x15,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TSL2591_REGISTER_CHAN1_LOW = 0x16,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TSL2591_REGISTER_CHAN1_HIGH = 0x17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typedef enum {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TSL2591_INTEGRATIONTIME_100MS = 0x00,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TSL2591_INTEGRATIONTIME_200MS = 0x01,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TSL2591_INTEGRATIONTIME_300MS = 0x02,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TSL2591_INTEGRATIONTIME_400MS = 0x03,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TSL2591_INTEGRATIONTIME_500MS = 0x04,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TSL2591_INTEGRATIONTIME_600MS = 0x05,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} tsl2591IntegrationTime_t;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typedef enum {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// bit 7:4: 0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TSL2591_PERSIST_EVERY = 0x00,  // Every ALS cycle generates an interrupt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TSL2591_PERSIST_ANY = 0x01,    // Any value outside of threshold range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TSL2591_PERSIST_2 = 0x02,      // 2 consecutive values out of range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TSL2591_PERSIST_3 = 0x03,      // 3 consecutive values out of range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TSL2591_PERSIST_5 = 0x04,      // 5 consecutive values out of range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TSL2591_PERSIST_10 = 0x05,     // 10 consecutive values out of range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TSL2591_PERSIST_15 = 0x06,     // 15 consecutive values out of range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TSL2591_PERSIST_20 = 0x07,     // 20 consecutive values out of range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TSL2591_PERSIST_25 = 0x08,     // 25 consecutive values out of range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TSL2591_PERSIST_30 = 0x09,     // 30 consecutive values out of range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TSL2591_PERSIST_35 = 0x0A,     // 35 consecutive values out of range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TSL2591_PERSIST_40 = 0x0B,     // 40 consecutive values out of range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TSL2591_PERSIST_45 = 0x0C,     // 45 consecutive values out of range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TSL2591_PERSIST_50 = 0x0D,     // 50 consecutive values out of range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TSL2591_PERSIST_55 = 0x0E,     // 55 consecutive values out of range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TSL2591_PERSIST_60 = 0x0F,     // 60 consecutive values out of range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} tsl2591Persist_t;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typedef enum {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TSL2591_GAIN_LOW = 0x00,   // low gain (1x)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TSL2591_GAIN_MED = 0x10,   // medium gain (25x)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TSL2591_GAIN_HIGH = 0x20,  // medium gain (428x)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TSL2591_GAIN_MAX = 0x30,   // max gain (9876x)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} tsl2591Gain_t;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