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3"/>
        <w:gridCol w:w="1794"/>
        <w:gridCol w:w="2505"/>
        <w:gridCol w:w="2400"/>
        <w:gridCol w:w="1088"/>
        <w:tblGridChange w:id="0">
          <w:tblGrid>
            <w:gridCol w:w="1293"/>
            <w:gridCol w:w="1794"/>
            <w:gridCol w:w="2505"/>
            <w:gridCol w:w="2400"/>
            <w:gridCol w:w="1088"/>
          </w:tblGrid>
        </w:tblGridChange>
      </w:tblGrid>
      <w:tr>
        <w:trPr>
          <w:cantSplit w:val="0"/>
          <w:trHeight w:val="113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tabs>
                <w:tab w:val="center" w:pos="4680"/>
                <w:tab w:val="right" w:pos="9360"/>
              </w:tabs>
              <w:spacing w:before="160"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-28573</wp:posOffset>
                  </wp:positionV>
                  <wp:extent cx="781050" cy="1093470"/>
                  <wp:effectExtent b="0" l="0" r="0" t="0"/>
                  <wp:wrapNone/>
                  <wp:docPr descr="http://0.static.wix.com/media/20d7e6_568d2afaaec2975c4101012271d956e7.png_512" id="16" name="image2.png"/>
                  <a:graphic>
                    <a:graphicData uri="http://schemas.openxmlformats.org/drawingml/2006/picture">
                      <pic:pic>
                        <pic:nvPicPr>
                          <pic:cNvPr descr="http://0.static.wix.com/media/20d7e6_568d2afaaec2975c4101012271d956e7.png_512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1093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tabs>
                <w:tab w:val="center" w:pos="4680"/>
                <w:tab w:val="right" w:pos="9360"/>
              </w:tabs>
              <w:spacing w:before="16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tabs>
                <w:tab w:val="center" w:pos="4680"/>
                <w:tab w:val="right" w:pos="9360"/>
              </w:tabs>
              <w:spacing w:before="160"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PERUSAHAAN UMUM (PERUM) PENGANGKUTAN PENUMPANG DJAKARTA</w:t>
            </w:r>
          </w:p>
          <w:p w:rsidR="00000000" w:rsidDel="00000000" w:rsidP="00000000" w:rsidRDefault="00000000" w:rsidRPr="00000000" w14:paraId="00000005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DIVISI KOMERSIAL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tabs>
                <w:tab w:val="center" w:pos="4680"/>
                <w:tab w:val="right" w:pos="9360"/>
              </w:tabs>
              <w:spacing w:before="16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STANDARD OPERATIONAL PROCEDURE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(SOP)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tabs>
                <w:tab w:val="center" w:pos="4680"/>
                <w:tab w:val="right" w:pos="9360"/>
              </w:tabs>
              <w:spacing w:before="16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PENGAJUAN DAN PENGADAAN BARANG DAN JASA TI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center" w:pos="4680"/>
                <w:tab w:val="right" w:pos="9360"/>
              </w:tabs>
              <w:spacing w:before="16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Nomor :     </w:t>
            </w:r>
          </w:p>
          <w:p w:rsidR="00000000" w:rsidDel="00000000" w:rsidP="00000000" w:rsidRDefault="00000000" w:rsidRPr="00000000" w14:paraId="0000000D">
            <w:pPr>
              <w:tabs>
                <w:tab w:val="center" w:pos="4680"/>
                <w:tab w:val="right" w:pos="9360"/>
              </w:tabs>
              <w:spacing w:before="16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009/SOP/.DKO.04.2022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center" w:pos="4680"/>
                <w:tab w:val="right" w:pos="9360"/>
              </w:tabs>
              <w:spacing w:before="160" w:line="276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Revisi : 0</w:t>
            </w:r>
          </w:p>
        </w:tc>
      </w:tr>
    </w:tbl>
    <w:p w:rsidR="00000000" w:rsidDel="00000000" w:rsidP="00000000" w:rsidRDefault="00000000" w:rsidRPr="00000000" w14:paraId="0000000F">
      <w:pPr>
        <w:tabs>
          <w:tab w:val="right" w:pos="9018"/>
        </w:tabs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pos="9018"/>
        </w:tabs>
        <w:spacing w:line="276" w:lineRule="auto"/>
        <w:ind w:left="425" w:hanging="425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TUJUAN</w:t>
      </w:r>
    </w:p>
    <w:p w:rsidR="00000000" w:rsidDel="00000000" w:rsidP="00000000" w:rsidRDefault="00000000" w:rsidRPr="00000000" w14:paraId="00000011">
      <w:pPr>
        <w:tabs>
          <w:tab w:val="right" w:pos="9018"/>
        </w:tabs>
        <w:spacing w:line="360" w:lineRule="auto"/>
        <w:ind w:left="425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Tujuan dari penyusunan Standar Operasional Prosedur ini adalah sebagai acuan pelaksanaan pengajuan dan </w:t>
      </w:r>
      <w:r w:rsidDel="00000000" w:rsidR="00000000" w:rsidRPr="00000000">
        <w:rPr>
          <w:rFonts w:ascii="Arial" w:cs="Arial" w:eastAsia="Arial" w:hAnsi="Arial"/>
          <w:rtl w:val="0"/>
        </w:rPr>
        <w:t xml:space="preserve">pengadaan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barang dan jasa TI.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pos="9018"/>
        </w:tabs>
        <w:spacing w:line="360" w:lineRule="auto"/>
        <w:ind w:left="425" w:hanging="425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RUANG LINGKUP</w:t>
      </w:r>
    </w:p>
    <w:p w:rsidR="00000000" w:rsidDel="00000000" w:rsidP="00000000" w:rsidRDefault="00000000" w:rsidRPr="00000000" w14:paraId="00000013">
      <w:pPr>
        <w:tabs>
          <w:tab w:val="right" w:pos="9018"/>
        </w:tabs>
        <w:spacing w:line="360" w:lineRule="auto"/>
        <w:ind w:left="425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Standar Operasional Prosedur ini menguraikan tentang proses dan ketentuan yang diterapkan di Lingkungan Perum PPD terkait dengan pengajuan dan </w:t>
      </w:r>
      <w:r w:rsidDel="00000000" w:rsidR="00000000" w:rsidRPr="00000000">
        <w:rPr>
          <w:rFonts w:ascii="Arial" w:cs="Arial" w:eastAsia="Arial" w:hAnsi="Arial"/>
          <w:rtl w:val="0"/>
        </w:rPr>
        <w:t xml:space="preserve">pengadaan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barang dan jasa TI.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right" w:pos="9018"/>
        </w:tabs>
        <w:spacing w:line="360" w:lineRule="auto"/>
        <w:ind w:left="425" w:hanging="425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DASAR HUKUM</w:t>
      </w:r>
    </w:p>
    <w:p w:rsidR="00000000" w:rsidDel="00000000" w:rsidP="00000000" w:rsidRDefault="00000000" w:rsidRPr="00000000" w14:paraId="00000015">
      <w:pPr>
        <w:tabs>
          <w:tab w:val="right" w:pos="9018"/>
        </w:tabs>
        <w:spacing w:line="360" w:lineRule="auto"/>
        <w:ind w:left="425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Standar Operasional Prosedur Penyusunan Kajian ini dibuat berdasarkan: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86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Peraturan Pemerintah Nomor : 91 Tahun 2000 Tentang Perum PPD;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86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Peraturan Menteri BUMN Nomor : PER-03/MBU/02/2018 Tanggal 18 Februari 2013 Tentang Panduan Penyusunan Pengelolaan Teknologi Informasi Badan usaha Milik Negara.</w:t>
      </w:r>
    </w:p>
    <w:p w:rsidR="00000000" w:rsidDel="00000000" w:rsidP="00000000" w:rsidRDefault="00000000" w:rsidRPr="00000000" w14:paraId="00000018">
      <w:pPr>
        <w:tabs>
          <w:tab w:val="right" w:pos="9018"/>
        </w:tabs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line="276" w:lineRule="auto"/>
        <w:ind w:left="425" w:hanging="42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PENANGGUNG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JAWAB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right" w:pos="9018"/>
        </w:tabs>
        <w:spacing w:after="0" w:line="360" w:lineRule="auto"/>
        <w:ind w:left="786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Direktur Utama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pos="9018"/>
        </w:tabs>
        <w:spacing w:after="0" w:line="360" w:lineRule="auto"/>
        <w:ind w:left="786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Direktur Keuangan dan Manajemen Risiko;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pos="9018"/>
        </w:tabs>
        <w:spacing w:after="0" w:line="360" w:lineRule="auto"/>
        <w:ind w:left="786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Direktur Operasional dan Pemasaran;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pos="9018"/>
        </w:tabs>
        <w:spacing w:after="0" w:line="360" w:lineRule="auto"/>
        <w:ind w:left="786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K.Div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Komersial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pos="9018"/>
        </w:tabs>
        <w:spacing w:after="0" w:line="360" w:lineRule="auto"/>
        <w:ind w:left="786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K.Dep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Teknologi Informasi;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pos="9018"/>
        </w:tabs>
        <w:spacing w:after="0" w:line="360" w:lineRule="auto"/>
        <w:ind w:left="786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Staf </w:t>
      </w:r>
      <w:r w:rsidDel="00000000" w:rsidR="00000000" w:rsidRPr="00000000">
        <w:rPr>
          <w:rFonts w:ascii="Arial" w:cs="Arial" w:eastAsia="Arial" w:hAnsi="Arial"/>
          <w:rtl w:val="0"/>
        </w:rPr>
        <w:t xml:space="preserve">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9018"/>
        </w:tabs>
        <w:spacing w:after="0" w:line="360" w:lineRule="auto"/>
        <w:ind w:left="78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018"/>
        </w:tabs>
        <w:spacing w:after="0" w:line="360" w:lineRule="auto"/>
        <w:ind w:left="786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line="276" w:lineRule="auto"/>
        <w:ind w:left="425" w:hanging="42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DEFINISI </w:t>
      </w:r>
    </w:p>
    <w:p w:rsidR="00000000" w:rsidDel="00000000" w:rsidP="00000000" w:rsidRDefault="00000000" w:rsidRPr="00000000" w14:paraId="00000023">
      <w:pPr>
        <w:tabs>
          <w:tab w:val="right" w:pos="9018"/>
        </w:tabs>
        <w:spacing w:after="240" w:line="276" w:lineRule="auto"/>
        <w:ind w:left="4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Standar Operasional Prosedur (SOP) ini memuat istilah-istilah yang selanjutnya diuraikan sebagai berikut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right" w:pos="9018"/>
        </w:tabs>
        <w:spacing w:after="0" w:line="360" w:lineRule="auto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DIVISI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240" w:line="276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Divisi merupakan satu kelompok maupun satuan di dalam, suatu organisasi.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right" w:pos="9018"/>
        </w:tabs>
        <w:spacing w:after="0" w:line="276" w:lineRule="auto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PENGADAAN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240" w:line="276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Upaya pihak pengguna untuk mendapatkan/mewujudkan barang atu jasa yang dibutuhkannya dengan menggunakan metode dan proses tertentu agar tercapai kesepakatan spesifikasi.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0" w:line="276" w:lineRule="auto"/>
        <w:ind w:left="1440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 LIVE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0" w:line="276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Proses peluncuran barang dan jasa TI yang dilakukan setelah proses pengembangan dan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quality control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A">
      <w:pPr>
        <w:tabs>
          <w:tab w:val="right" w:pos="9018"/>
        </w:tabs>
        <w:spacing w:after="0" w:line="276" w:lineRule="auto"/>
        <w:ind w:left="14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right" w:pos="9018"/>
        </w:tabs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pos="9018"/>
        </w:tabs>
        <w:spacing w:after="0" w:line="360" w:lineRule="auto"/>
        <w:ind w:left="786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line="276" w:lineRule="auto"/>
        <w:ind w:left="425" w:hanging="425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RISIKO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BILA TERJADI KEGAGALAN PROSEDUR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right" w:pos="9018"/>
        </w:tabs>
        <w:spacing w:line="360" w:lineRule="auto"/>
        <w:ind w:left="425" w:firstLine="0"/>
        <w:jc w:val="both"/>
        <w:rPr>
          <w:rFonts w:ascii="Arial" w:cs="Arial" w:eastAsia="Arial" w:hAnsi="Arial"/>
          <w:b w:val="1"/>
          <w:color w:val="000000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843" w:top="1702" w:left="1701" w:right="1133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Kegagalan dalam pelaksanaan prosedur ini dapat berdampak kepada tidak terdokumentasi dengan baik hal-hal terkait pengajuan dan </w:t>
      </w:r>
      <w:r w:rsidDel="00000000" w:rsidR="00000000" w:rsidRPr="00000000">
        <w:rPr>
          <w:rFonts w:ascii="Arial" w:cs="Arial" w:eastAsia="Arial" w:hAnsi="Arial"/>
          <w:rtl w:val="0"/>
        </w:rPr>
        <w:t xml:space="preserve">pengadaan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barang dan jasa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line="276" w:lineRule="auto"/>
        <w:ind w:left="1710" w:hanging="42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PROSEDUR</w:t>
      </w:r>
    </w:p>
    <w:tbl>
      <w:tblPr>
        <w:tblStyle w:val="Table2"/>
        <w:tblW w:w="110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8"/>
        <w:gridCol w:w="6610"/>
        <w:gridCol w:w="2575"/>
        <w:gridCol w:w="1202"/>
        <w:tblGridChange w:id="0">
          <w:tblGrid>
            <w:gridCol w:w="668"/>
            <w:gridCol w:w="6610"/>
            <w:gridCol w:w="2575"/>
            <w:gridCol w:w="1202"/>
          </w:tblGrid>
        </w:tblGridChange>
      </w:tblGrid>
      <w:tr>
        <w:trPr>
          <w:cantSplit w:val="0"/>
          <w:trHeight w:val="443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Uraian Kegiatan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Revisi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Pemetaan kebutuhan barang dan/atau jasa TI pada setiap lingkungan Perum PPD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Div. Terkait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Ka. Div menerima permintaan pengajuan dan meminta persetujuan Direksi terkait pengadaan.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Ka.Div Komersial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Direksi menerima permintaan pengajuan terkait pengadaan.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Direksi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Direksi menerima permintaan pengajuan terkait pengadaan.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ireksi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Melakukan prosedur pengadaan barang dan/atau jasa 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 SDM &amp; Umum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Serah terima barang dan/atau jasa 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Ka. Dept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Divisi terkait melakukan uji coba terhadap barang dan/atau jasa TI didampingi oleh tim dari TI.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Div. Terkait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Mengumpulkan temuan hasil uji coba dan melakukan eskalasi kepada pihak vendor untuk memperbaiki temuan tersebut.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Staf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0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Staf TI bersama Divisi terkait berkontribusi dalam peluncuran aplikasi.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Staf TI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Dalam waktu yang telah ditentukan, Staf Analis &amp; Quality Assurance akan mengenalkan dan memberikan tutorial aplikasi yang telah dibuat berdasarkan kebutuhan Divisi terkait dan membuat dokumentasi user manual sebagai acuan bagi pengguna.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Staf TI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Ka. Dept TI dan Ka. Div Komersial menerima laporan akhir.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tabs>
                <w:tab w:val="right" w:pos="9018"/>
              </w:tabs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Ka. Div Komersial, Ka. Dept. 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tabs>
                <w:tab w:val="right" w:pos="9018"/>
              </w:tabs>
              <w:spacing w:line="276" w:lineRule="auto"/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tabs>
          <w:tab w:val="right" w:pos="9018"/>
        </w:tabs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right" w:pos="9018"/>
        </w:tabs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right" w:pos="9018"/>
        </w:tabs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right" w:pos="9018"/>
        </w:tabs>
        <w:spacing w:line="276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right" w:pos="9018"/>
        </w:tabs>
        <w:spacing w:after="0" w:line="276" w:lineRule="auto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0" w:line="276" w:lineRule="auto"/>
        <w:ind w:left="720" w:hanging="360"/>
        <w:jc w:val="both"/>
        <w:rPr>
          <w:rFonts w:ascii="Arial" w:cs="Arial" w:eastAsia="Arial" w:hAnsi="Arial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FLOW CHART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PROSEDUR DAN FORMULIR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0" w:line="276" w:lineRule="auto"/>
        <w:ind w:left="270" w:firstLine="0"/>
        <w:jc w:val="both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0" w:line="276" w:lineRule="auto"/>
        <w:ind w:left="270" w:hanging="990"/>
        <w:jc w:val="both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0" w:line="276" w:lineRule="auto"/>
        <w:ind w:left="270" w:hanging="270"/>
        <w:jc w:val="both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</w:rPr>
        <w:drawing>
          <wp:inline distB="114300" distT="114300" distL="114300" distR="114300">
            <wp:extent cx="6743850" cy="48641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85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0" w:line="276" w:lineRule="auto"/>
        <w:ind w:left="270" w:firstLine="0"/>
        <w:jc w:val="both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9018"/>
        </w:tabs>
        <w:spacing w:after="0" w:line="276" w:lineRule="auto"/>
        <w:ind w:left="270" w:firstLine="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right" w:pos="9018"/>
        </w:tabs>
        <w:spacing w:line="276" w:lineRule="auto"/>
        <w:jc w:val="center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right" w:pos="9018"/>
        </w:tabs>
        <w:spacing w:line="276" w:lineRule="auto"/>
        <w:ind w:hanging="900"/>
        <w:rPr>
          <w:rFonts w:ascii="Arial" w:cs="Arial" w:eastAsia="Arial" w:hAnsi="Arial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425" w:right="86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-2677476</wp:posOffset>
          </wp:positionH>
          <wp:positionV relativeFrom="paragraph">
            <wp:posOffset>1110297</wp:posOffset>
          </wp:positionV>
          <wp:extent cx="10866186" cy="7676917"/>
          <wp:effectExtent b="0" l="0" r="0" t="0"/>
          <wp:wrapNone/>
          <wp:docPr id="1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5760" r="0" t="0"/>
                  <a:stretch>
                    <a:fillRect/>
                  </a:stretch>
                </pic:blipFill>
                <pic:spPr>
                  <a:xfrm rot="16200000">
                    <a:off x="0" y="0"/>
                    <a:ext cx="10866186" cy="767691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5541645</wp:posOffset>
          </wp:positionH>
          <wp:positionV relativeFrom="paragraph">
            <wp:posOffset>-312419</wp:posOffset>
          </wp:positionV>
          <wp:extent cx="543383" cy="812606"/>
          <wp:effectExtent b="0" l="0" r="0" t="0"/>
          <wp:wrapNone/>
          <wp:docPr descr="http://0.static.wix.com/media/20d7e6_568d2afaaec2975c4101012271d956e7.png_512" id="18" name="image1.png"/>
          <a:graphic>
            <a:graphicData uri="http://schemas.openxmlformats.org/drawingml/2006/picture">
              <pic:pic>
                <pic:nvPicPr>
                  <pic:cNvPr descr="http://0.static.wix.com/media/20d7e6_568d2afaaec2975c4101012271d956e7.png_512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3383" cy="81260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-12699</wp:posOffset>
              </wp:positionV>
              <wp:extent cx="4253865" cy="33274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23830" y="3618393"/>
                        <a:ext cx="4244340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Gadugi" w:cs="Gadugi" w:eastAsia="Gadugi" w:hAnsi="Gadugi"/>
                              <w:b w:val="1"/>
                              <w:i w:val="0"/>
                              <w:smallCaps w:val="0"/>
                              <w:strike w:val="0"/>
                              <w:color w:val="002060"/>
                              <w:sz w:val="26"/>
                              <w:vertAlign w:val="baseline"/>
                            </w:rPr>
                            <w:t xml:space="preserve">PEDOMAN SISTEM DAN PROSEDUR OPERASIONAL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5.99998474121094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Gadugi" w:cs="Gadugi" w:eastAsia="Gadugi" w:hAnsi="Gadugi"/>
                              <w:b w:val="1"/>
                              <w:i w:val="0"/>
                              <w:smallCaps w:val="0"/>
                              <w:strike w:val="0"/>
                              <w:color w:val="002060"/>
                              <w:sz w:val="2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 </w:t>
                          </w:r>
                        </w:p>
                      </w:txbxContent>
                    </wps:txbx>
                    <wps:bodyPr anchorCtr="0" anchor="t" bIns="50375" lIns="100775" spcFirstLastPara="1" rIns="100775" wrap="square" tIns="5037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1193800</wp:posOffset>
              </wp:positionH>
              <wp:positionV relativeFrom="paragraph">
                <wp:posOffset>-12699</wp:posOffset>
              </wp:positionV>
              <wp:extent cx="4253865" cy="332740"/>
              <wp:effectExtent b="0" l="0" r="0" t="0"/>
              <wp:wrapNone/>
              <wp:docPr id="1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53865" cy="332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A0774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AA0774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723D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723D1"/>
  </w:style>
  <w:style w:type="paragraph" w:styleId="Footer">
    <w:name w:val="footer"/>
    <w:basedOn w:val="Normal"/>
    <w:link w:val="FooterChar"/>
    <w:uiPriority w:val="99"/>
    <w:unhideWhenUsed w:val="1"/>
    <w:rsid w:val="00E723D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723D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PXKuiAXTTmw0ldP/iWFzZh9b4g==">AMUW2mXIVSO5LYZGmLAtH5WkywuDDG6tv1bDAMP0ILqcibbjNVncrlX7CUMOtJjn9bWbe0QRC9awhEh2BgylsZygJo5cW0re2nNjN/FqinDWXFIE7p0KxWT4Vzy7kJ/bytWQDk3J3V39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2022-01-14T08:03:00Z</dcterms:created>
  <dc:creator>trisna ristanti</dc:creator>
</cp:coreProperties>
</file>