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64"/>
          <w:szCs w:val="64"/>
        </w:rPr>
        <w:t xml:space="preserve">GARIMPO</w:t>
      </w:r>
    </w:p>
    <w:p>
      <w:pPr>
        <w:spacing w:after="600"/>
        <w:jc w:val="center"/>
      </w:pPr>
      <w:r>
        <w:rPr>
          <w:color w:val="2E7D5B"/>
          <w:sz w:val="26"/>
          <w:szCs w:val="26"/>
        </w:rPr>
        <w:t xml:space="preserve">O Marketplace Nacional de Brechós, Trocas e Garimpos</w:t>
      </w:r>
    </w:p>
    <w:p>
      <w:pPr>
        <w:pBdr>
          <w:bottom w:val="single" w:color="BFBFBF" w:sz="6"/>
        </w:pBdr>
        <w:spacing w:after="300"/>
      </w:pPr>
    </w:p>
    <w:p>
      <w:pPr>
        <w:jc w:val="center"/>
      </w:pPr>
      <w:r>
        <w:rPr>
          <w:b/>
          <w:bCs/>
          <w:sz w:val="24"/>
          <w:szCs w:val="24"/>
        </w:rPr>
        <w:t xml:space="preserve">DOCUMENTO DE REQUISITOS DO SISTEMA</w:t>
      </w:r>
    </w:p>
    <w:p>
      <w:pPr>
        <w:spacing w:after="200"/>
        <w:jc w:val="center"/>
      </w:pPr>
      <w:r>
        <w:rPr>
          <w:sz w:val="22"/>
          <w:szCs w:val="22"/>
        </w:rPr>
        <w:t xml:space="preserve">Versão 1.1  |  2026</w:t>
      </w:r>
    </w:p>
    <w:p>
      <w:pPr>
        <w:spacing w:before="100"/>
        <w:jc w:val="center"/>
      </w:pPr>
      <w:r>
        <w:rPr>
          <w:sz w:val="18"/>
          <w:szCs w:val="18"/>
        </w:rPr>
        <w:t xml:space="preserve">Alterações desta versão em relação à v1.0 destacadas em </w:t>
      </w:r>
      <w:r>
        <w:rPr>
          <w:b/>
          <w:bCs/>
          <w:color w:val="7F5A00"/>
          <w:sz w:val="18"/>
          <w:szCs w:val="18"/>
          <w:shd w:fill="FFF2CC" w:val="clear"/>
        </w:rPr>
        <w:t xml:space="preserve">amarelo</w:t>
      </w:r>
      <w:r>
        <w:rPr>
          <w:sz w:val="18"/>
          <w:szCs w:val="18"/>
        </w:rPr>
        <w:t xml:space="preserve">.</w:t>
      </w:r>
    </w:p>
    <w:p>
      <w:r>
        <w:br w:type="page"/>
      </w:r>
    </w:p>
    <w:p>
      <w:pPr>
        <w:pStyle w:val="Heading1"/>
        <w:spacing w:after="150" w:before="300"/>
      </w:pPr>
      <w:r>
        <w:rPr>
          <w:b/>
          <w:bCs/>
          <w:color w:val="1F4E79"/>
          <w:sz w:val="30"/>
          <w:szCs w:val="30"/>
        </w:rPr>
        <w:t xml:space="preserve">1. Visão Geral do Sistema</w:t>
      </w:r>
    </w:p>
    <w:p>
      <w:pPr>
        <w:spacing w:after="120"/>
      </w:pPr>
      <w:r>
        <w:rPr>
          <w:b w:val="false"/>
          <w:bCs w:val="false"/>
          <w:sz w:val="20"/>
          <w:szCs w:val="20"/>
        </w:rPr>
        <w:t xml:space="preserve">O Garimpo é uma plataforma digital brasileira que reúne brechós, bazares online, ateliês e produtores artesanais de todo o país em um único marketplace, permitindo a compra, venda e troca de roupas, calçados, acessórios e objetos usados, além de peças feitas à mão — inclusive sob encomenda e cursos ensinando técnicas artesanais. Além do marketplace, a plataforma oferece um ecossistema de serviços para lojistas — curadoria, gestão financeira e um marketplace de profissionais autônomos —, um programa de parceiros institucionais, um serviço de entrega próprio e ferramentas completas de gestão de loja (estoque, caixa/PDV e financeiro), promovendo moda e consumo circular, sustentabilidade e geração de renda para pequenos empreendedores e artesãos em todo o Brasil.</w:t>
      </w:r>
    </w:p>
    <w:p>
      <w:pPr>
        <w:pStyle w:val="Heading2"/>
        <w:spacing w:after="120" w:before="260"/>
      </w:pPr>
      <w:r>
        <w:rPr>
          <w:b/>
          <w:bCs/>
          <w:color w:val="1F4E79"/>
          <w:sz w:val="24"/>
          <w:szCs w:val="24"/>
        </w:rPr>
        <w:t xml:space="preserve">1.1 Objetivos</w:t>
      </w:r>
    </w:p>
    <w:p>
      <w:pPr>
        <w:pStyle w:val="ListParagraph"/>
        <w:numPr>
          <w:ilvl w:val="0"/>
          <w:numId w:val="2"/>
        </w:numPr>
        <w:spacing w:after="80"/>
      </w:pPr>
      <w:r>
        <w:rPr>
          <w:b w:val="false"/>
          <w:bCs w:val="false"/>
          <w:color w:val="000000"/>
          <w:sz w:val="20"/>
          <w:szCs w:val="20"/>
        </w:rPr>
        <w:t xml:space="preserve">Conectar brechós e bazares online de todas as regiões do Brasil em uma vitrine digital única</w:t>
      </w:r>
    </w:p>
    <w:p>
      <w:pPr>
        <w:pStyle w:val="ListParagraph"/>
        <w:numPr>
          <w:ilvl w:val="0"/>
          <w:numId w:val="2"/>
        </w:numPr>
        <w:spacing w:after="80"/>
      </w:pPr>
      <w:r>
        <w:rPr>
          <w:b w:val="false"/>
          <w:bCs w:val="false"/>
          <w:color w:val="000000"/>
          <w:sz w:val="20"/>
          <w:szCs w:val="20"/>
        </w:rPr>
        <w:t xml:space="preserve">Facilitar a compra, venda e troca de peças de forma segura, com comissão de 10% sobre vendas no marketplace</w:t>
      </w:r>
    </w:p>
    <w:p>
      <w:pPr>
        <w:pStyle w:val="ListParagraph"/>
        <w:numPr>
          <w:ilvl w:val="0"/>
          <w:numId w:val="2"/>
        </w:numPr>
        <w:spacing w:after="80"/>
      </w:pPr>
      <w:r>
        <w:rPr>
          <w:b w:val="false"/>
          <w:bCs w:val="false"/>
          <w:color w:val="000000"/>
          <w:sz w:val="20"/>
          <w:szCs w:val="20"/>
        </w:rPr>
        <w:t xml:space="preserve">Oferecer cupons de desconto para fidelizar clientes e impulsionar campanhas das lojas</w:t>
      </w:r>
    </w:p>
    <w:p>
      <w:pPr>
        <w:pStyle w:val="ListParagraph"/>
        <w:numPr>
          <w:ilvl w:val="0"/>
          <w:numId w:val="2"/>
        </w:numPr>
        <w:spacing w:after="80"/>
      </w:pPr>
      <w:r>
        <w:rPr>
          <w:b w:val="false"/>
          <w:bCs w:val="false"/>
          <w:color w:val="000000"/>
          <w:sz w:val="20"/>
          <w:szCs w:val="20"/>
        </w:rPr>
        <w:t xml:space="preserve">Permitir que profissionais autônomos (curadores, personal stylists, fotógrafos, gestores financeiros etc.) ofereçam serviços exclusivamente para donos de brechó, com comissão de 10% para a plataforma e 50% de pagamento antecipado ao profissional</w:t>
      </w:r>
    </w:p>
    <w:p>
      <w:pPr>
        <w:pStyle w:val="ListParagraph"/>
        <w:numPr>
          <w:ilvl w:val="0"/>
          <w:numId w:val="2"/>
        </w:numPr>
        <w:spacing w:after="80"/>
      </w:pPr>
      <w:r>
        <w:rPr>
          <w:b w:val="false"/>
          <w:bCs w:val="false"/>
          <w:color w:val="000000"/>
          <w:sz w:val="20"/>
          <w:szCs w:val="20"/>
        </w:rPr>
        <w:t xml:space="preserve">Disponibilizar ferramentas completas de gestão de loja (estoque, caixa e financeiro) mediante taxa de 15% sobre as vendas processadas por essas ferramentas</w:t>
      </w:r>
    </w:p>
    <w:p>
      <w:pPr>
        <w:pStyle w:val="ListParagraph"/>
        <w:numPr>
          <w:ilvl w:val="0"/>
          <w:numId w:val="2"/>
        </w:numPr>
        <w:spacing w:after="80"/>
      </w:pPr>
      <w:r>
        <w:rPr>
          <w:b w:val="false"/>
          <w:bCs w:val="false"/>
          <w:color w:val="000000"/>
          <w:sz w:val="20"/>
          <w:szCs w:val="20"/>
        </w:rPr>
        <w:t xml:space="preserve">Processar pagamentos com segurança via Mercado Pago, com split automático entre lojas, profissionais, parceiros institucionais e plataforma</w:t>
      </w:r>
    </w:p>
    <w:p>
      <w:pPr>
        <w:pStyle w:val="ListParagraph"/>
        <w:numPr>
          <w:ilvl w:val="0"/>
          <w:numId w:val="2"/>
        </w:numPr>
        <w:shd w:fill="FFF2CC" w:val="clear"/>
        <w:spacing w:after="80"/>
      </w:pPr>
      <w:r>
        <w:rPr>
          <w:b/>
          <w:bCs/>
          <w:color w:val="7F5A00"/>
          <w:sz w:val="20"/>
          <w:szCs w:val="20"/>
        </w:rPr>
        <w:t xml:space="preserve">Permitir que parceiros institucionais (pontos de retirada, ONGs de sustentabilidade e iniciativas de moda circular) se cadastrem na plataforma, mediante aprovação da administração, e recebam 1% dos 10% de comissão do marketplace sobre vendas vinculadas a eles</w:t>
      </w:r>
    </w:p>
    <w:p>
      <w:pPr>
        <w:pStyle w:val="ListParagraph"/>
        <w:numPr>
          <w:ilvl w:val="0"/>
          <w:numId w:val="2"/>
        </w:numPr>
        <w:shd w:fill="FFF2CC" w:val="clear"/>
        <w:spacing w:after="80"/>
      </w:pPr>
      <w:r>
        <w:rPr>
          <w:b/>
          <w:bCs/>
          <w:color w:val="7F5A00"/>
          <w:sz w:val="20"/>
          <w:szCs w:val="20"/>
        </w:rPr>
        <w:t xml:space="preserve">Oferecer um serviço de entrega próprio da plataforma, com o custo do frete pago integralmente pelo cliente comprador no checkout, sem custo para a plataforma</w:t>
      </w:r>
    </w:p>
    <w:p>
      <w:pPr>
        <w:pStyle w:val="ListParagraph"/>
        <w:numPr>
          <w:ilvl w:val="0"/>
          <w:numId w:val="2"/>
        </w:numPr>
        <w:shd w:fill="FFF2CC" w:val="clear"/>
        <w:spacing w:after="80"/>
      </w:pPr>
      <w:r>
        <w:rPr>
          <w:b/>
          <w:bCs/>
          <w:color w:val="7F5A00"/>
          <w:sz w:val="20"/>
          <w:szCs w:val="20"/>
        </w:rPr>
        <w:t xml:space="preserve">Permitir que artesãos, produtores independentes ou qualquer usuário interessado vendam cursos digitais ensinando como suas peças de artesanato são feitas</w:t>
      </w:r>
    </w:p>
    <w:p>
      <w:pPr>
        <w:pStyle w:val="ListParagraph"/>
        <w:numPr>
          <w:ilvl w:val="0"/>
          <w:numId w:val="2"/>
        </w:numPr>
        <w:shd w:fill="FFF2CC" w:val="clear"/>
        <w:spacing w:after="80"/>
      </w:pPr>
      <w:r>
        <w:rPr>
          <w:b/>
          <w:bCs/>
          <w:color w:val="7F5A00"/>
          <w:sz w:val="20"/>
          <w:szCs w:val="20"/>
        </w:rPr>
        <w:t xml:space="preserve">Garantir um sistema de avaliação mútua entre todos os perfis envolvidos — clientes, lojistas, profissionais autônomos e parceiros institucionais — e um canal de ouvidoria, mediado pelo administrador, para conciliar impasses que não sejam resolvidos pelos fluxos padrão de disputa</w:t>
      </w:r>
    </w:p>
    <w:p>
      <w:pPr>
        <w:pStyle w:val="Heading2"/>
        <w:spacing w:after="120" w:before="260"/>
      </w:pPr>
      <w:r>
        <w:rPr>
          <w:b/>
          <w:bCs/>
          <w:color w:val="1F4E79"/>
          <w:sz w:val="24"/>
          <w:szCs w:val="24"/>
        </w:rPr>
        <w:t xml:space="preserve">1.2 Público-alvo</w:t>
      </w:r>
    </w:p>
    <w:p>
      <w:pPr>
        <w:pStyle w:val="ListParagraph"/>
        <w:numPr>
          <w:ilvl w:val="0"/>
          <w:numId w:val="2"/>
        </w:numPr>
        <w:spacing w:after="80"/>
      </w:pPr>
      <w:r>
        <w:rPr>
          <w:b w:val="false"/>
          <w:bCs w:val="false"/>
          <w:color w:val="000000"/>
          <w:sz w:val="20"/>
          <w:szCs w:val="20"/>
        </w:rPr>
        <w:t xml:space="preserve">Clientes comuns: pessoas que compram, vendem ou trocam peças</w:t>
      </w:r>
    </w:p>
    <w:p>
      <w:pPr>
        <w:pStyle w:val="ListParagraph"/>
        <w:numPr>
          <w:ilvl w:val="0"/>
          <w:numId w:val="2"/>
        </w:numPr>
        <w:spacing w:after="80"/>
      </w:pPr>
      <w:r>
        <w:rPr>
          <w:b w:val="false"/>
          <w:bCs w:val="false"/>
          <w:color w:val="000000"/>
          <w:sz w:val="20"/>
          <w:szCs w:val="20"/>
        </w:rPr>
        <w:t xml:space="preserve">Donos de brechó/bazar online: lojistas que anunciam peças, aplicam cupons, contratam serviços e utilizam as ferramentas de gestão de loja</w:t>
      </w:r>
    </w:p>
    <w:p>
      <w:pPr>
        <w:pStyle w:val="ListParagraph"/>
        <w:numPr>
          <w:ilvl w:val="0"/>
          <w:numId w:val="2"/>
        </w:numPr>
        <w:shd w:fill="FFF2CC" w:val="clear"/>
        <w:spacing w:after="80"/>
      </w:pPr>
      <w:r>
        <w:rPr>
          <w:b/>
          <w:bCs/>
          <w:color w:val="7F5A00"/>
          <w:sz w:val="20"/>
          <w:szCs w:val="20"/>
        </w:rPr>
        <w:t xml:space="preserve">Artesãos, crocheteiros, costureiros e pequenos produtores independentes: criadores que vendem peças feitas à mão, inclusive sob encomenda, com loja própria na plataforma, podendo também vender cursos sobre suas técnicas</w:t>
      </w:r>
    </w:p>
    <w:p>
      <w:pPr>
        <w:pStyle w:val="ListParagraph"/>
        <w:numPr>
          <w:ilvl w:val="0"/>
          <w:numId w:val="2"/>
        </w:numPr>
        <w:spacing w:after="80"/>
      </w:pPr>
      <w:r>
        <w:rPr>
          <w:b w:val="false"/>
          <w:bCs w:val="false"/>
          <w:color w:val="000000"/>
          <w:sz w:val="20"/>
          <w:szCs w:val="20"/>
        </w:rPr>
        <w:t xml:space="preserve">Profissionais autônomos: curadores de moda, personal stylists, fotógrafos de produto e gestores financeiros/contábeis que prestam serviços aos lojistas</w:t>
      </w:r>
    </w:p>
    <w:p>
      <w:pPr>
        <w:pStyle w:val="ListParagraph"/>
        <w:numPr>
          <w:ilvl w:val="0"/>
          <w:numId w:val="2"/>
        </w:numPr>
        <w:shd w:fill="FFF2CC" w:val="clear"/>
        <w:spacing w:after="80"/>
      </w:pPr>
      <w:r>
        <w:rPr>
          <w:b/>
          <w:bCs/>
          <w:color w:val="7F5A00"/>
          <w:sz w:val="20"/>
          <w:szCs w:val="20"/>
        </w:rPr>
        <w:t xml:space="preserve">Administradores da plataforma: equipe responsável pela aprovação de lojas, de profissionais e de parceiros institucionais, moderação, gestão de comissões, atendimento da ouvidoria e aplicação de penalidades</w:t>
      </w:r>
    </w:p>
    <w:p>
      <w:pPr>
        <w:pStyle w:val="ListParagraph"/>
        <w:numPr>
          <w:ilvl w:val="0"/>
          <w:numId w:val="2"/>
        </w:numPr>
        <w:shd w:fill="FFF2CC" w:val="clear"/>
        <w:spacing w:after="80"/>
      </w:pPr>
      <w:r>
        <w:rPr>
          <w:b/>
          <w:bCs/>
          <w:color w:val="7F5A00"/>
          <w:sz w:val="20"/>
          <w:szCs w:val="20"/>
        </w:rPr>
        <w:t xml:space="preserve">Parceiros institucionais: pontos de retirada, ONGs de sustentabilidade e iniciativas de moda circular, que se cadastram na plataforma e, após aprovação administrativa, passam a receber uma parcela da comissão sobre vendas vinculadas a eles</w:t>
      </w:r>
    </w:p>
    <w:p>
      <w:pPr>
        <w:pStyle w:val="Heading2"/>
        <w:spacing w:after="120" w:before="260"/>
      </w:pPr>
      <w:r>
        <w:rPr>
          <w:b/>
          <w:bCs/>
          <w:color w:val="1F4E79"/>
          <w:sz w:val="24"/>
          <w:szCs w:val="24"/>
        </w:rPr>
        <w:t xml:space="preserve">1.3 Modelo de Monetização</w:t>
      </w:r>
    </w:p>
    <w:p>
      <w:pPr>
        <w:pStyle w:val="ListParagraph"/>
        <w:numPr>
          <w:ilvl w:val="0"/>
          <w:numId w:val="2"/>
        </w:numPr>
        <w:spacing w:after="80"/>
      </w:pPr>
      <w:r>
        <w:rPr>
          <w:b w:val="false"/>
          <w:bCs w:val="false"/>
          <w:color w:val="000000"/>
          <w:sz w:val="20"/>
          <w:szCs w:val="20"/>
        </w:rPr>
        <w:t xml:space="preserve">Comissão de 10% sobre vendas realizadas no marketplace (venda direta e diferença paga em trocas)</w:t>
      </w:r>
    </w:p>
    <w:p>
      <w:pPr>
        <w:pStyle w:val="ListParagraph"/>
        <w:numPr>
          <w:ilvl w:val="0"/>
          <w:numId w:val="2"/>
        </w:numPr>
        <w:spacing w:after="80"/>
      </w:pPr>
      <w:r>
        <w:rPr>
          <w:b w:val="false"/>
          <w:bCs w:val="false"/>
          <w:color w:val="000000"/>
          <w:sz w:val="20"/>
          <w:szCs w:val="20"/>
        </w:rPr>
        <w:t xml:space="preserve">Comissão de 10% sobre serviços contratados de profissionais autônomos, com 50% pago antecipadamente ao profissional e 50% liberado após a execução</w:t>
      </w:r>
    </w:p>
    <w:p>
      <w:pPr>
        <w:pStyle w:val="ListParagraph"/>
        <w:numPr>
          <w:ilvl w:val="0"/>
          <w:numId w:val="2"/>
        </w:numPr>
        <w:spacing w:after="80"/>
      </w:pPr>
      <w:r>
        <w:rPr>
          <w:b w:val="false"/>
          <w:bCs w:val="false"/>
          <w:color w:val="000000"/>
          <w:sz w:val="20"/>
          <w:szCs w:val="20"/>
        </w:rPr>
        <w:t xml:space="preserve">Taxa de 15% sobre vendas processadas pelas ferramentas completas de gestão de loja (estoque, caixa/PDV e financeiro)</w:t>
      </w:r>
    </w:p>
    <w:p>
      <w:pPr>
        <w:pStyle w:val="ListParagraph"/>
        <w:numPr>
          <w:ilvl w:val="0"/>
          <w:numId w:val="2"/>
        </w:numPr>
        <w:spacing w:after="80"/>
      </w:pPr>
      <w:r>
        <w:rPr>
          <w:b w:val="false"/>
          <w:bCs w:val="false"/>
          <w:color w:val="000000"/>
          <w:sz w:val="20"/>
          <w:szCs w:val="20"/>
        </w:rPr>
        <w:t xml:space="preserve">Cupons de desconto configuráveis pelos lojistas para fidelização, sem custo adicional de comissão para a plataforma</w:t>
      </w:r>
    </w:p>
    <w:p>
      <w:pPr>
        <w:pStyle w:val="ListParagraph"/>
        <w:numPr>
          <w:ilvl w:val="0"/>
          <w:numId w:val="2"/>
        </w:numPr>
        <w:shd w:fill="FFF2CC" w:val="clear"/>
        <w:spacing w:after="80"/>
      </w:pPr>
      <w:r>
        <w:rPr>
          <w:b/>
          <w:bCs/>
          <w:color w:val="7F5A00"/>
          <w:sz w:val="20"/>
          <w:szCs w:val="20"/>
        </w:rPr>
        <w:t xml:space="preserve">Repasse de 1 ponto percentual (1%) dos 10% de comissão do marketplace a parceiros institucionais aprovados, quando a venda estiver vinculada a eles — a plataforma retém os 9% restantes; a comissão total cobrada do vendedor permanece 10%</w:t>
      </w:r>
    </w:p>
    <w:p>
      <w:pPr>
        <w:pStyle w:val="ListParagraph"/>
        <w:numPr>
          <w:ilvl w:val="0"/>
          <w:numId w:val="2"/>
        </w:numPr>
        <w:shd w:fill="FFF2CC" w:val="clear"/>
        <w:spacing w:after="80"/>
      </w:pPr>
      <w:r>
        <w:rPr>
          <w:b/>
          <w:bCs/>
          <w:color w:val="7F5A00"/>
          <w:sz w:val="20"/>
          <w:szCs w:val="20"/>
        </w:rPr>
        <w:t xml:space="preserve">Frete do serviço de entrega da plataforma cobrado à parte, integralmente do cliente comprador, sem repasse de comissão adicional à plataforma sobre esse valor</w:t>
      </w:r>
    </w:p>
    <w:p>
      <w:pPr>
        <w:pStyle w:val="Heading2"/>
        <w:spacing w:after="120" w:before="260"/>
      </w:pPr>
      <w:r>
        <w:rPr>
          <w:b/>
          <w:bCs/>
          <w:color w:val="1F4E79"/>
          <w:sz w:val="24"/>
          <w:szCs w:val="24"/>
        </w:rPr>
        <w:t xml:space="preserve">1.4 Perfis de Usuário e Menus</w:t>
      </w:r>
    </w:p>
    <w:p>
      <w:pPr>
        <w:spacing w:after="120"/>
      </w:pPr>
      <w:r>
        <w:rPr>
          <w:b w:val="false"/>
          <w:bCs w:val="false"/>
          <w:sz w:val="20"/>
          <w:szCs w:val="20"/>
        </w:rPr>
        <w:t xml:space="preserve">Cada tipo de usuário acessa um menu e um conjunto de funcionalidades personalizado, conforme detalhado no requisito RF03:</w:t>
      </w:r>
    </w:p>
    <w:p>
      <w:pPr>
        <w:pStyle w:val="ListParagraph"/>
        <w:numPr>
          <w:ilvl w:val="0"/>
          <w:numId w:val="2"/>
        </w:numPr>
        <w:spacing w:after="80"/>
      </w:pPr>
      <w:r>
        <w:rPr>
          <w:b w:val="false"/>
          <w:bCs w:val="false"/>
          <w:color w:val="000000"/>
          <w:sz w:val="20"/>
          <w:szCs w:val="20"/>
        </w:rPr>
        <w:t xml:space="preserve">Cliente comum — comprar, trocar, avaliar, aplicar cupons e favoritar peças</w:t>
      </w:r>
    </w:p>
    <w:p>
      <w:pPr>
        <w:pStyle w:val="ListParagraph"/>
        <w:numPr>
          <w:ilvl w:val="0"/>
          <w:numId w:val="2"/>
        </w:numPr>
        <w:shd w:fill="FFF2CC" w:val="clear"/>
        <w:spacing w:after="80"/>
      </w:pPr>
      <w:r>
        <w:rPr>
          <w:b/>
          <w:bCs/>
          <w:color w:val="7F5A00"/>
          <w:sz w:val="20"/>
          <w:szCs w:val="20"/>
        </w:rPr>
        <w:t xml:space="preserve">Lojista (dono de brechó, ateliê ou artesão) — tudo do cliente comum, além de vitrine própria, anúncios em lote (incluindo peças sob encomenda e cursos), criação de cupons, contratação de profissionais autônomos e acesso às ferramentas de gestão de loja</w:t>
      </w:r>
    </w:p>
    <w:p>
      <w:pPr>
        <w:pStyle w:val="ListParagraph"/>
        <w:numPr>
          <w:ilvl w:val="0"/>
          <w:numId w:val="2"/>
        </w:numPr>
        <w:spacing w:after="80"/>
      </w:pPr>
      <w:r>
        <w:rPr>
          <w:b w:val="false"/>
          <w:bCs w:val="false"/>
          <w:color w:val="000000"/>
          <w:sz w:val="20"/>
          <w:szCs w:val="20"/>
        </w:rPr>
        <w:t xml:space="preserve">Profissional autônomo — cadastro de serviços, agenda de atendimentos e painel de contratações</w:t>
      </w:r>
    </w:p>
    <w:p>
      <w:pPr>
        <w:pStyle w:val="ListParagraph"/>
        <w:numPr>
          <w:ilvl w:val="0"/>
          <w:numId w:val="2"/>
        </w:numPr>
        <w:shd w:fill="FFF2CC" w:val="clear"/>
        <w:spacing w:after="80"/>
      </w:pPr>
      <w:r>
        <w:rPr>
          <w:b/>
          <w:bCs/>
          <w:color w:val="7F5A00"/>
          <w:sz w:val="20"/>
          <w:szCs w:val="20"/>
        </w:rPr>
        <w:t xml:space="preserve">Parceiro institucional — cadastro institucional, acompanhamento de vendas vinculadas e extrato de repasses recebidos</w:t>
      </w:r>
    </w:p>
    <w:p>
      <w:pPr>
        <w:pStyle w:val="ListParagraph"/>
        <w:numPr>
          <w:ilvl w:val="0"/>
          <w:numId w:val="2"/>
        </w:numPr>
        <w:shd w:fill="FFF2CC" w:val="clear"/>
        <w:spacing w:after="80"/>
      </w:pPr>
      <w:r>
        <w:rPr>
          <w:b/>
          <w:bCs/>
          <w:color w:val="7F5A00"/>
          <w:sz w:val="20"/>
          <w:szCs w:val="20"/>
        </w:rPr>
        <w:t xml:space="preserve">Administrador — aprovação de lojas, profissionais e parceiros institucionais, moderação de conteúdo, gestão de comissões, atendimento da ouvidoria e relatórios gerenciais</w:t>
      </w:r>
    </w:p>
    <w:p>
      <w:r>
        <w:br w:type="page"/>
      </w:r>
    </w:p>
    <w:p>
      <w:pPr>
        <w:pStyle w:val="Heading1"/>
        <w:spacing w:after="150" w:before="300"/>
      </w:pPr>
      <w:r>
        <w:rPr>
          <w:b/>
          <w:bCs/>
          <w:color w:val="1F4E79"/>
          <w:sz w:val="30"/>
          <w:szCs w:val="30"/>
        </w:rPr>
        <w:t xml:space="preserve">2. Requisitos Funcionais</w:t>
      </w:r>
    </w:p>
    <w:p>
      <w:pPr>
        <w:spacing w:after="120"/>
      </w:pPr>
      <w:r>
        <w:rPr>
          <w:b w:val="false"/>
          <w:bCs w:val="false"/>
          <w:sz w:val="20"/>
          <w:szCs w:val="20"/>
        </w:rPr>
        <w:t xml:space="preserve">Descrevem o que o sistema deve fazer — funcionalidades e comportamentos esperados.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RF1 — Gestão de Usuários e Perfis</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RF01</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Cadastro de usuário</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Sistema permite cadastro com nome, e-mail, senha, CPF (ou CNPJ/MEI para lojistas) e endereço. Confirmação por e-mail obrigatória. Usuário seleciona o tipo de perfil: cliente comum, lojista (dono de brechó, ateliê ou produtor artesanal), profissional autônomo ou parceiro institucional.</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RF02</w:t>
            </w:r>
          </w:p>
        </w:tc>
        <w:tc>
          <w:tcPr>
            <w:tcW w:type="pct" w:w="20%"/>
            <w:tcMar>
              <w:top w:type="dxa" w:w="80"/>
              <w:left w:type="dxa" w:w="100"/>
              <w:bottom w:type="dxa" w:w="80"/>
              <w:right w:type="dxa" w:w="100"/>
            </w:tcMar>
            <w:vAlign w:val="center"/>
          </w:tcPr>
          <w:p>
            <w:pPr>
              <w:jc w:val="left"/>
            </w:pPr>
            <w:r>
              <w:rPr>
                <w:b/>
                <w:bCs/>
                <w:color w:val="000000"/>
                <w:sz w:val="18"/>
                <w:szCs w:val="18"/>
              </w:rPr>
              <w:t xml:space="preserve">Login e autenticação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Autenticação via e-mail/senha e login social (Google). Suporte a recuperação de senha por e-mail.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RF03</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Menu personalizado por perfil</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Sistema exibe menu, painel e funcionalidades específicas conforme o tipo de usuário: cliente comum, lojista (brechó, ateliê ou artesão), profissional autônomo, parceiro institucional ou administrador.</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RF04</w:t>
            </w:r>
          </w:p>
        </w:tc>
        <w:tc>
          <w:tcPr>
            <w:tcW w:type="pct" w:w="20%"/>
            <w:tcMar>
              <w:top w:type="dxa" w:w="80"/>
              <w:left w:type="dxa" w:w="100"/>
              <w:bottom w:type="dxa" w:w="80"/>
              <w:right w:type="dxa" w:w="100"/>
            </w:tcMar>
            <w:vAlign w:val="center"/>
          </w:tcPr>
          <w:p>
            <w:pPr>
              <w:jc w:val="left"/>
            </w:pPr>
            <w:r>
              <w:rPr>
                <w:b/>
                <w:bCs/>
                <w:color w:val="000000"/>
                <w:sz w:val="18"/>
                <w:szCs w:val="18"/>
              </w:rPr>
              <w:t xml:space="preserve">Perfil do usuário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Usuário edita foto, bio, cidade e preferências de estilo/categoria. Exibir reputação e histórico de transações.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RF05</w:t>
            </w:r>
          </w:p>
        </w:tc>
        <w:tc>
          <w:tcPr>
            <w:tcW w:type="pct" w:w="20%"/>
            <w:tcMar>
              <w:top w:type="dxa" w:w="80"/>
              <w:left w:type="dxa" w:w="100"/>
              <w:bottom w:type="dxa" w:w="80"/>
              <w:right w:type="dxa" w:w="100"/>
            </w:tcMar>
            <w:vAlign w:val="center"/>
          </w:tcPr>
          <w:p>
            <w:pPr>
              <w:jc w:val="left"/>
            </w:pPr>
            <w:r>
              <w:rPr>
                <w:b/>
                <w:bCs/>
                <w:color w:val="000000"/>
                <w:sz w:val="18"/>
                <w:szCs w:val="18"/>
              </w:rPr>
              <w:t xml:space="preserve">Verificação de lojista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Dono de brechó, ateliê ou artesão envia CNPJ/MEI ou comprovante de endereço para análise. Administrador aprova antes de a loja ficar ativa na plataforma.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RF06</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Avaliação entre participantes</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Sistema de avaliação mútua com nota de 1 a 5 e comentário, aplicado a todos os perfis envolvidos em uma interação: comprador e vendedor avaliam-se após cada transação de venda ou troca; lojista avalia o profissional autônomo contratado (e vice-versa); lojista avalia o parceiro institucional vinculado (ex.: ponto de retirada), quando houver interação registrada. Todas as avaliações alimentam o painel de reputação (RF69) e ficam visíveis no perfil público de cada participante.</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RF07</w:t>
            </w:r>
          </w:p>
        </w:tc>
        <w:tc>
          <w:tcPr>
            <w:tcW w:type="pct" w:w="20%"/>
            <w:tcMar>
              <w:top w:type="dxa" w:w="80"/>
              <w:left w:type="dxa" w:w="100"/>
              <w:bottom w:type="dxa" w:w="80"/>
              <w:right w:type="dxa" w:w="100"/>
            </w:tcMar>
            <w:vAlign w:val="center"/>
          </w:tcPr>
          <w:p>
            <w:pPr>
              <w:jc w:val="left"/>
            </w:pPr>
            <w:r>
              <w:rPr>
                <w:b/>
                <w:bCs/>
                <w:color w:val="000000"/>
                <w:sz w:val="18"/>
                <w:szCs w:val="18"/>
              </w:rPr>
              <w:t xml:space="preserve">Desativação de conta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Usuário pode solicitar desativação da conta. Dados anonimizados após 30 dias, conforme LGPD.</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RF2 — Catálogo de Peças e Produtos</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RF08</w:t>
            </w:r>
          </w:p>
        </w:tc>
        <w:tc>
          <w:tcPr>
            <w:tcW w:type="pct" w:w="20%"/>
            <w:tcMar>
              <w:top w:type="dxa" w:w="80"/>
              <w:left w:type="dxa" w:w="100"/>
              <w:bottom w:type="dxa" w:w="80"/>
              <w:right w:type="dxa" w:w="100"/>
            </w:tcMar>
            <w:vAlign w:val="center"/>
          </w:tcPr>
          <w:p>
            <w:pPr>
              <w:jc w:val="left"/>
            </w:pPr>
            <w:r>
              <w:rPr>
                <w:b/>
                <w:bCs/>
                <w:color w:val="000000"/>
                <w:sz w:val="18"/>
                <w:szCs w:val="18"/>
              </w:rPr>
              <w:t xml:space="preserve">Anúncio de peça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Vendedor cadastra peça com título, categoria, marca (quando aplicável), tamanho, fotos e tipo (venda ou troca). Sistema distingue origem do item: usado (brechó/bazar) ou novo, feito à mão (artesanato).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RF09</w:t>
            </w:r>
          </w:p>
        </w:tc>
        <w:tc>
          <w:tcPr>
            <w:tcW w:type="pct" w:w="20%"/>
            <w:tcMar>
              <w:top w:type="dxa" w:w="80"/>
              <w:left w:type="dxa" w:w="100"/>
              <w:bottom w:type="dxa" w:w="80"/>
              <w:right w:type="dxa" w:w="100"/>
            </w:tcMar>
            <w:vAlign w:val="center"/>
          </w:tcPr>
          <w:p>
            <w:pPr>
              <w:jc w:val="left"/>
            </w:pPr>
            <w:r>
              <w:rPr>
                <w:b/>
                <w:bCs/>
                <w:color w:val="000000"/>
                <w:sz w:val="18"/>
                <w:szCs w:val="18"/>
              </w:rPr>
              <w:t xml:space="preserve">Preço sugerido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Sistema sugere preço com base em categoria, marca e estado de conservação, consultando base de preços de referência.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RF10</w:t>
            </w:r>
          </w:p>
        </w:tc>
        <w:tc>
          <w:tcPr>
            <w:tcW w:type="pct" w:w="20%"/>
            <w:tcMar>
              <w:top w:type="dxa" w:w="80"/>
              <w:left w:type="dxa" w:w="100"/>
              <w:bottom w:type="dxa" w:w="80"/>
              <w:right w:type="dxa" w:w="100"/>
            </w:tcMar>
            <w:vAlign w:val="center"/>
          </w:tcPr>
          <w:p>
            <w:pPr>
              <w:jc w:val="left"/>
            </w:pPr>
            <w:r>
              <w:rPr>
                <w:b/>
                <w:bCs/>
                <w:color w:val="000000"/>
                <w:sz w:val="18"/>
                <w:szCs w:val="18"/>
              </w:rPr>
              <w:t xml:space="preserve">Busca e filtros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Busca por título, categoria, marca e tamanho. Filtros por tipo (venda/troca), estado de conservação, preço, cidade/estado e loja.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RF11</w:t>
            </w:r>
          </w:p>
        </w:tc>
        <w:tc>
          <w:tcPr>
            <w:tcW w:type="pct" w:w="20%"/>
            <w:tcMar>
              <w:top w:type="dxa" w:w="80"/>
              <w:left w:type="dxa" w:w="100"/>
              <w:bottom w:type="dxa" w:w="80"/>
              <w:right w:type="dxa" w:w="100"/>
            </w:tcMar>
            <w:vAlign w:val="center"/>
          </w:tcPr>
          <w:p>
            <w:pPr>
              <w:jc w:val="left"/>
            </w:pPr>
            <w:r>
              <w:rPr>
                <w:b/>
                <w:bCs/>
                <w:color w:val="000000"/>
                <w:sz w:val="18"/>
                <w:szCs w:val="18"/>
              </w:rPr>
              <w:t xml:space="preserve">Página do produto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Exibir fotos, descrição, estado, preço, dados do vendedor/loja, distância do comprador e botão de ação (comprar ou propor troca).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RF12</w:t>
            </w:r>
          </w:p>
        </w:tc>
        <w:tc>
          <w:tcPr>
            <w:tcW w:type="pct" w:w="20%"/>
            <w:tcMar>
              <w:top w:type="dxa" w:w="80"/>
              <w:left w:type="dxa" w:w="100"/>
              <w:bottom w:type="dxa" w:w="80"/>
              <w:right w:type="dxa" w:w="100"/>
            </w:tcMar>
            <w:vAlign w:val="center"/>
          </w:tcPr>
          <w:p>
            <w:pPr>
              <w:jc w:val="left"/>
            </w:pPr>
            <w:r>
              <w:rPr>
                <w:b/>
                <w:bCs/>
                <w:color w:val="000000"/>
                <w:sz w:val="18"/>
                <w:szCs w:val="18"/>
              </w:rPr>
              <w:t xml:space="preserve">Vitrine da loja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Cada brechó, ateliê ou loja de artesanato possui página própria personalizável, com logo, banner, descrição, redes sociais e todas as peças anunciadas.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RF13</w:t>
            </w:r>
          </w:p>
        </w:tc>
        <w:tc>
          <w:tcPr>
            <w:tcW w:type="pct" w:w="20%"/>
            <w:tcMar>
              <w:top w:type="dxa" w:w="80"/>
              <w:left w:type="dxa" w:w="100"/>
              <w:bottom w:type="dxa" w:w="80"/>
              <w:right w:type="dxa" w:w="100"/>
            </w:tcMar>
            <w:vAlign w:val="center"/>
          </w:tcPr>
          <w:p>
            <w:pPr>
              <w:jc w:val="left"/>
            </w:pPr>
            <w:r>
              <w:rPr>
                <w:b/>
                <w:bCs/>
                <w:color w:val="000000"/>
                <w:sz w:val="18"/>
                <w:szCs w:val="18"/>
              </w:rPr>
              <w:t xml:space="preserve">Lista de desejos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Usuário salva peças ou categorias que procura. Sistema notifica quando um item compatível é anunciado.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RF14</w:t>
            </w:r>
          </w:p>
        </w:tc>
        <w:tc>
          <w:tcPr>
            <w:tcW w:type="pct" w:w="20%"/>
            <w:tcMar>
              <w:top w:type="dxa" w:w="80"/>
              <w:left w:type="dxa" w:w="100"/>
              <w:bottom w:type="dxa" w:w="80"/>
              <w:right w:type="dxa" w:w="100"/>
            </w:tcMar>
            <w:vAlign w:val="center"/>
          </w:tcPr>
          <w:p>
            <w:pPr>
              <w:jc w:val="left"/>
            </w:pPr>
            <w:r>
              <w:rPr>
                <w:b/>
                <w:bCs/>
                <w:color w:val="000000"/>
                <w:sz w:val="18"/>
                <w:szCs w:val="18"/>
              </w:rPr>
              <w:t xml:space="preserve">Edição e remoção de anúncio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Vendedor pode editar ou remover anúncio a qualquer momento enquanto não houver transação em aberto.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RF15</w:t>
            </w:r>
          </w:p>
        </w:tc>
        <w:tc>
          <w:tcPr>
            <w:tcW w:type="pct" w:w="20%"/>
            <w:tcMar>
              <w:top w:type="dxa" w:w="80"/>
              <w:left w:type="dxa" w:w="100"/>
              <w:bottom w:type="dxa" w:w="80"/>
              <w:right w:type="dxa" w:w="100"/>
            </w:tcMar>
            <w:vAlign w:val="center"/>
          </w:tcPr>
          <w:p>
            <w:pPr>
              <w:jc w:val="left"/>
            </w:pPr>
            <w:r>
              <w:rPr>
                <w:b/>
                <w:bCs/>
                <w:color w:val="000000"/>
                <w:sz w:val="18"/>
                <w:szCs w:val="18"/>
              </w:rPr>
              <w:t xml:space="preserve">Expiração de anúncio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Anúncios expiram após 90 dias sem movimentação. Sistema notifica o vendedor 7 dias antes para renovar.</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Baixa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RF3 — Transações de Venda</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RF16</w:t>
            </w:r>
          </w:p>
        </w:tc>
        <w:tc>
          <w:tcPr>
            <w:tcW w:type="pct" w:w="20%"/>
            <w:tcMar>
              <w:top w:type="dxa" w:w="80"/>
              <w:left w:type="dxa" w:w="100"/>
              <w:bottom w:type="dxa" w:w="80"/>
              <w:right w:type="dxa" w:w="100"/>
            </w:tcMar>
            <w:vAlign w:val="center"/>
          </w:tcPr>
          <w:p>
            <w:pPr>
              <w:jc w:val="left"/>
            </w:pPr>
            <w:r>
              <w:rPr>
                <w:b/>
                <w:bCs/>
                <w:color w:val="000000"/>
                <w:sz w:val="18"/>
                <w:szCs w:val="18"/>
              </w:rPr>
              <w:t xml:space="preserve">Compra online</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Comprador realiza pagamento via Mercado Pago (cartão, PIX ou boleto). Valor retido até confirmação de recebimento.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RF17</w:t>
            </w:r>
          </w:p>
        </w:tc>
        <w:tc>
          <w:tcPr>
            <w:tcW w:type="pct" w:w="20%"/>
            <w:tcMar>
              <w:top w:type="dxa" w:w="80"/>
              <w:left w:type="dxa" w:w="100"/>
              <w:bottom w:type="dxa" w:w="80"/>
              <w:right w:type="dxa" w:w="100"/>
            </w:tcMar>
            <w:vAlign w:val="center"/>
          </w:tcPr>
          <w:p>
            <w:pPr>
              <w:jc w:val="left"/>
            </w:pPr>
            <w:r>
              <w:rPr>
                <w:b/>
                <w:bCs/>
                <w:color w:val="000000"/>
                <w:sz w:val="18"/>
                <w:szCs w:val="18"/>
              </w:rPr>
              <w:t xml:space="preserve">Sistema de escrow</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Plataforma retém o valor por até 7 dias após a entrega confirmada, liberando ao vendedor após esse prazo ou confirmação do comprador.</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RF18</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Comissão automática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Sistema deduz 10% do valor bruto da venda realizada no marketplace padrão, antes de repassar o restante ao vendedor. Quando a venda estiver vinculada a um parceiro institucional indicador, o sistema separa automaticamente 1 ponto percentual desses 10% para repasse ao parceiro (ver RF61).</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RF19</w:t>
            </w:r>
          </w:p>
        </w:tc>
        <w:tc>
          <w:tcPr>
            <w:tcW w:type="pct" w:w="20%"/>
            <w:tcMar>
              <w:top w:type="dxa" w:w="80"/>
              <w:left w:type="dxa" w:w="100"/>
              <w:bottom w:type="dxa" w:w="80"/>
              <w:right w:type="dxa" w:w="100"/>
            </w:tcMar>
            <w:vAlign w:val="center"/>
          </w:tcPr>
          <w:p>
            <w:pPr>
              <w:jc w:val="left"/>
            </w:pPr>
            <w:r>
              <w:rPr>
                <w:b/>
                <w:bCs/>
                <w:color w:val="000000"/>
                <w:sz w:val="18"/>
                <w:szCs w:val="18"/>
              </w:rPr>
              <w:t xml:space="preserve">Repasse ao vendedor</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Vendedor recebe via PIX ou conta Mercado Pago após liberação do escrow, em prazo máximo de 2 dias úteis.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RF20</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Rastreamento de entrega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Vendedor informa código de rastreio. Sistema monitora status via API dos Correios e notifica as partes. Quando o comprador optar pelo serviço de entrega da própria plataforma (RF62), o rastreamento é gerado automaticamente pela transportadora integrada.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Média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RF21</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Disputa e mediação</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Comprador pode abrir disputa em até 48h após a entrega. Plataforma media e decide em até 5 dias úteis. Caso alguma das partes não concorde com a decisão, o caso pode ser escalado para a ouvidoria (RF65).</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RF22</w:t>
            </w:r>
          </w:p>
        </w:tc>
        <w:tc>
          <w:tcPr>
            <w:tcW w:type="pct" w:w="20%"/>
            <w:tcMar>
              <w:top w:type="dxa" w:w="80"/>
              <w:left w:type="dxa" w:w="100"/>
              <w:bottom w:type="dxa" w:w="80"/>
              <w:right w:type="dxa" w:w="100"/>
            </w:tcMar>
            <w:vAlign w:val="center"/>
          </w:tcPr>
          <w:p>
            <w:pPr>
              <w:jc w:val="left"/>
            </w:pPr>
            <w:r>
              <w:rPr>
                <w:b/>
                <w:bCs/>
                <w:color w:val="000000"/>
                <w:sz w:val="18"/>
                <w:szCs w:val="18"/>
              </w:rPr>
              <w:t xml:space="preserve">Cancelamento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Comprador pode cancelar antes do envio. Vendedor pode cancelar com justificativa. Reembolso em até 5 dias úteis.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RF23</w:t>
            </w:r>
          </w:p>
        </w:tc>
        <w:tc>
          <w:tcPr>
            <w:tcW w:type="pct" w:w="20%"/>
            <w:tcMar>
              <w:top w:type="dxa" w:w="80"/>
              <w:left w:type="dxa" w:w="100"/>
              <w:bottom w:type="dxa" w:w="80"/>
              <w:right w:type="dxa" w:w="100"/>
            </w:tcMar>
            <w:vAlign w:val="center"/>
          </w:tcPr>
          <w:p>
            <w:pPr>
              <w:jc w:val="left"/>
            </w:pPr>
            <w:r>
              <w:rPr>
                <w:b/>
                <w:bCs/>
                <w:color w:val="000000"/>
                <w:sz w:val="18"/>
                <w:szCs w:val="18"/>
              </w:rPr>
              <w:t xml:space="preserve">Histórico financeiro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Usuário visualiza extrato de vendas, comissões, reembolsos e repasses, com filtro por período.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RF4 — Sistema de Trocas</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RF24</w:t>
            </w:r>
          </w:p>
        </w:tc>
        <w:tc>
          <w:tcPr>
            <w:tcW w:type="pct" w:w="20%"/>
            <w:tcMar>
              <w:top w:type="dxa" w:w="80"/>
              <w:left w:type="dxa" w:w="100"/>
              <w:bottom w:type="dxa" w:w="80"/>
              <w:right w:type="dxa" w:w="100"/>
            </w:tcMar>
            <w:vAlign w:val="center"/>
          </w:tcPr>
          <w:p>
            <w:pPr>
              <w:jc w:val="left"/>
            </w:pPr>
            <w:r>
              <w:rPr>
                <w:b/>
                <w:bCs/>
                <w:color w:val="000000"/>
                <w:sz w:val="18"/>
                <w:szCs w:val="18"/>
              </w:rPr>
              <w:t xml:space="preserve">Proposta de troca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Usuário propõe troca oferecendo uma ou mais peças do seu acervo. Sistema sugere trocas compatíveis automaticamente.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RF25</w:t>
            </w:r>
          </w:p>
        </w:tc>
        <w:tc>
          <w:tcPr>
            <w:tcW w:type="pct" w:w="20%"/>
            <w:tcMar>
              <w:top w:type="dxa" w:w="80"/>
              <w:left w:type="dxa" w:w="100"/>
              <w:bottom w:type="dxa" w:w="80"/>
              <w:right w:type="dxa" w:w="100"/>
            </w:tcMar>
            <w:vAlign w:val="center"/>
          </w:tcPr>
          <w:p>
            <w:pPr>
              <w:jc w:val="left"/>
            </w:pPr>
            <w:r>
              <w:rPr>
                <w:b/>
                <w:bCs/>
                <w:color w:val="000000"/>
                <w:sz w:val="18"/>
                <w:szCs w:val="18"/>
              </w:rPr>
              <w:t xml:space="preserve">Aceitação de troca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Proprietário aceita, recusa ou contrapropõe a troca. Chat integrado para negociação.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RF26</w:t>
            </w:r>
          </w:p>
        </w:tc>
        <w:tc>
          <w:tcPr>
            <w:tcW w:type="pct" w:w="20%"/>
            <w:tcMar>
              <w:top w:type="dxa" w:w="80"/>
              <w:left w:type="dxa" w:w="100"/>
              <w:bottom w:type="dxa" w:w="80"/>
              <w:right w:type="dxa" w:w="100"/>
            </w:tcMar>
            <w:vAlign w:val="center"/>
          </w:tcPr>
          <w:p>
            <w:pPr>
              <w:jc w:val="left"/>
            </w:pPr>
            <w:r>
              <w:rPr>
                <w:b/>
                <w:bCs/>
                <w:color w:val="000000"/>
                <w:sz w:val="18"/>
                <w:szCs w:val="18"/>
              </w:rPr>
              <w:t xml:space="preserve">Troca gratuita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Trocas diretas entre peças de valor similar não geram comissão para a plataforma.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RF27</w:t>
            </w:r>
          </w:p>
        </w:tc>
        <w:tc>
          <w:tcPr>
            <w:tcW w:type="pct" w:w="20%"/>
            <w:tcMar>
              <w:top w:type="dxa" w:w="80"/>
              <w:left w:type="dxa" w:w="100"/>
              <w:bottom w:type="dxa" w:w="80"/>
              <w:right w:type="dxa" w:w="100"/>
            </w:tcMar>
            <w:vAlign w:val="center"/>
          </w:tcPr>
          <w:p>
            <w:pPr>
              <w:jc w:val="left"/>
            </w:pPr>
            <w:r>
              <w:rPr>
                <w:b/>
                <w:bCs/>
                <w:color w:val="000000"/>
                <w:sz w:val="18"/>
                <w:szCs w:val="18"/>
              </w:rPr>
              <w:t xml:space="preserve">Troca com complemento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Quando há diferença de valor entre as peças, a diferença pode ser paga via Mercado Pago, com comissão de 10%.</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RF28</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Combinação de entrega da troca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Usuários combinam envio via Correios, serviço de entrega da plataforma (RF62) ou retirada/entrega presencial diretamente pelo chat da plataforma.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E7D5B" w:val="clear"/>
            <w:tcMar>
              <w:top w:type="dxa" w:w="100"/>
              <w:left w:type="dxa" w:w="120"/>
              <w:bottom w:type="dxa" w:w="100"/>
              <w:right w:type="dxa" w:w="120"/>
            </w:tcMar>
          </w:tcPr>
          <w:p>
            <w:r>
              <w:rPr>
                <w:b/>
                <w:bCs/>
                <w:color w:val="FFFFFF"/>
                <w:sz w:val="22"/>
                <w:szCs w:val="22"/>
              </w:rPr>
              <w:t xml:space="preserve">RF5 — Cupons de Desconto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RF29</w:t>
            </w:r>
          </w:p>
        </w:tc>
        <w:tc>
          <w:tcPr>
            <w:tcW w:type="pct" w:w="20%"/>
            <w:tcMar>
              <w:top w:type="dxa" w:w="80"/>
              <w:left w:type="dxa" w:w="100"/>
              <w:bottom w:type="dxa" w:w="80"/>
              <w:right w:type="dxa" w:w="100"/>
            </w:tcMar>
            <w:vAlign w:val="center"/>
          </w:tcPr>
          <w:p>
            <w:pPr>
              <w:jc w:val="left"/>
            </w:pPr>
            <w:r>
              <w:rPr>
                <w:b/>
                <w:bCs/>
                <w:color w:val="000000"/>
                <w:sz w:val="18"/>
                <w:szCs w:val="18"/>
              </w:rPr>
              <w:t xml:space="preserve">Criação de cupom</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Lojista (brechó, ateliê ou artesão) ou administrador cria cupons de desconto (percentual ou valor fixo), definindo validade e valor mínimo de compra.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RF30</w:t>
            </w:r>
          </w:p>
        </w:tc>
        <w:tc>
          <w:tcPr>
            <w:tcW w:type="pct" w:w="20%"/>
            <w:tcMar>
              <w:top w:type="dxa" w:w="80"/>
              <w:left w:type="dxa" w:w="100"/>
              <w:bottom w:type="dxa" w:w="80"/>
              <w:right w:type="dxa" w:w="100"/>
            </w:tcMar>
            <w:vAlign w:val="center"/>
          </w:tcPr>
          <w:p>
            <w:pPr>
              <w:jc w:val="left"/>
            </w:pPr>
            <w:r>
              <w:rPr>
                <w:b/>
                <w:bCs/>
                <w:color w:val="000000"/>
                <w:sz w:val="18"/>
                <w:szCs w:val="18"/>
              </w:rPr>
              <w:t xml:space="preserve">Aplicação de cupom no checkout</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Cliente insere ou seleciona cupom disponível ao finalizar a compra. Sistema valida as regras automaticamente.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RF31</w:t>
            </w:r>
          </w:p>
        </w:tc>
        <w:tc>
          <w:tcPr>
            <w:tcW w:type="pct" w:w="20%"/>
            <w:tcMar>
              <w:top w:type="dxa" w:w="80"/>
              <w:left w:type="dxa" w:w="100"/>
              <w:bottom w:type="dxa" w:w="80"/>
              <w:right w:type="dxa" w:w="100"/>
            </w:tcMar>
            <w:vAlign w:val="center"/>
          </w:tcPr>
          <w:p>
            <w:pPr>
              <w:jc w:val="left"/>
            </w:pPr>
            <w:r>
              <w:rPr>
                <w:b/>
                <w:bCs/>
                <w:color w:val="000000"/>
                <w:sz w:val="18"/>
                <w:szCs w:val="18"/>
              </w:rPr>
              <w:t xml:space="preserve">Cupons automáticos por campanha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Sistema gera cupons para eventos como primeira compra, aniversário do cliente e recuperação de carrinho abandonado.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RF32</w:t>
            </w:r>
          </w:p>
        </w:tc>
        <w:tc>
          <w:tcPr>
            <w:tcW w:type="pct" w:w="20%"/>
            <w:tcMar>
              <w:top w:type="dxa" w:w="80"/>
              <w:left w:type="dxa" w:w="100"/>
              <w:bottom w:type="dxa" w:w="80"/>
              <w:right w:type="dxa" w:w="100"/>
            </w:tcMar>
            <w:vAlign w:val="center"/>
          </w:tcPr>
          <w:p>
            <w:pPr>
              <w:jc w:val="left"/>
            </w:pPr>
            <w:r>
              <w:rPr>
                <w:b/>
                <w:bCs/>
                <w:color w:val="000000"/>
                <w:sz w:val="18"/>
                <w:szCs w:val="18"/>
              </w:rPr>
              <w:t xml:space="preserve">Relatório de uso de cupons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Lojista e administrador visualizam cupons emitidos, utilizados, taxa de conversão e impacto nas vendas.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E7D5B" w:val="clear"/>
            <w:tcMar>
              <w:top w:type="dxa" w:w="100"/>
              <w:left w:type="dxa" w:w="120"/>
              <w:bottom w:type="dxa" w:w="100"/>
              <w:right w:type="dxa" w:w="120"/>
            </w:tcMar>
          </w:tcPr>
          <w:p>
            <w:r>
              <w:rPr>
                <w:b/>
                <w:bCs/>
                <w:color w:val="FFFFFF"/>
                <w:sz w:val="22"/>
                <w:szCs w:val="22"/>
              </w:rPr>
              <w:t xml:space="preserve">RF6 — Marketplace de Serviços Profissionais Autônomos</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RF33</w:t>
            </w:r>
          </w:p>
        </w:tc>
        <w:tc>
          <w:tcPr>
            <w:tcW w:type="pct" w:w="20%"/>
            <w:tcMar>
              <w:top w:type="dxa" w:w="80"/>
              <w:left w:type="dxa" w:w="100"/>
              <w:bottom w:type="dxa" w:w="80"/>
              <w:right w:type="dxa" w:w="100"/>
            </w:tcMar>
            <w:vAlign w:val="center"/>
          </w:tcPr>
          <w:p>
            <w:pPr>
              <w:jc w:val="left"/>
            </w:pPr>
            <w:r>
              <w:rPr>
                <w:b/>
                <w:bCs/>
                <w:color w:val="000000"/>
                <w:sz w:val="18"/>
                <w:szCs w:val="18"/>
              </w:rPr>
              <w:t xml:space="preserve">Cadastro de profissional autônomo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Profissional cadastra nome, categoria de serviço (curadoria de acervo, personal stylist, fotografia de produto, gestão financeira/contábil, entre outros), portfólio e preços.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RF34</w:t>
            </w:r>
          </w:p>
        </w:tc>
        <w:tc>
          <w:tcPr>
            <w:tcW w:type="pct" w:w="20%"/>
            <w:tcMar>
              <w:top w:type="dxa" w:w="80"/>
              <w:left w:type="dxa" w:w="100"/>
              <w:bottom w:type="dxa" w:w="80"/>
              <w:right w:type="dxa" w:w="100"/>
            </w:tcMar>
            <w:vAlign w:val="center"/>
          </w:tcPr>
          <w:p>
            <w:pPr>
              <w:jc w:val="left"/>
            </w:pPr>
            <w:r>
              <w:rPr>
                <w:b/>
                <w:bCs/>
                <w:color w:val="000000"/>
                <w:sz w:val="18"/>
                <w:szCs w:val="18"/>
              </w:rPr>
              <w:t xml:space="preserve">Catálogo de serviços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Listagem de serviços disponível exclusivamente para perfis de lojista (dono de brechó, ateliê ou artesão); não é exibida para clientes comuns.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RF35</w:t>
            </w:r>
          </w:p>
        </w:tc>
        <w:tc>
          <w:tcPr>
            <w:tcW w:type="pct" w:w="20%"/>
            <w:tcMar>
              <w:top w:type="dxa" w:w="80"/>
              <w:left w:type="dxa" w:w="100"/>
              <w:bottom w:type="dxa" w:w="80"/>
              <w:right w:type="dxa" w:w="100"/>
            </w:tcMar>
            <w:vAlign w:val="center"/>
          </w:tcPr>
          <w:p>
            <w:pPr>
              <w:jc w:val="left"/>
            </w:pPr>
            <w:r>
              <w:rPr>
                <w:b/>
                <w:bCs/>
                <w:color w:val="000000"/>
                <w:sz w:val="18"/>
                <w:szCs w:val="18"/>
              </w:rPr>
              <w:t xml:space="preserve">Contratação de serviço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Dono do brechó contrata o serviço; 50% do valor é pago antecipadamente via Mercado Pago para reservar o profissional.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RF36</w:t>
            </w:r>
          </w:p>
        </w:tc>
        <w:tc>
          <w:tcPr>
            <w:tcW w:type="pct" w:w="20%"/>
            <w:tcMar>
              <w:top w:type="dxa" w:w="80"/>
              <w:left w:type="dxa" w:w="100"/>
              <w:bottom w:type="dxa" w:w="80"/>
              <w:right w:type="dxa" w:w="100"/>
            </w:tcMar>
            <w:vAlign w:val="center"/>
          </w:tcPr>
          <w:p>
            <w:pPr>
              <w:jc w:val="left"/>
            </w:pPr>
            <w:r>
              <w:rPr>
                <w:b/>
                <w:bCs/>
                <w:color w:val="000000"/>
                <w:sz w:val="18"/>
                <w:szCs w:val="18"/>
              </w:rPr>
              <w:t xml:space="preserve">Liberação do saldo final</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Os 50% restantes são liberados ao profissional após confirmação, pelo contratante, de que o serviço foi executado.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RF37</w:t>
            </w:r>
          </w:p>
        </w:tc>
        <w:tc>
          <w:tcPr>
            <w:tcW w:type="pct" w:w="20%"/>
            <w:tcMar>
              <w:top w:type="dxa" w:w="80"/>
              <w:left w:type="dxa" w:w="100"/>
              <w:bottom w:type="dxa" w:w="80"/>
              <w:right w:type="dxa" w:w="100"/>
            </w:tcMar>
            <w:vAlign w:val="center"/>
          </w:tcPr>
          <w:p>
            <w:pPr>
              <w:jc w:val="left"/>
            </w:pPr>
            <w:r>
              <w:rPr>
                <w:b/>
                <w:bCs/>
                <w:color w:val="000000"/>
                <w:sz w:val="18"/>
                <w:szCs w:val="18"/>
              </w:rPr>
              <w:t xml:space="preserve">Comissão sobre serviços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Plataforma retém 10% do valor total do serviço como comissão, descontada do repasse ao profissional.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RF38</w:t>
            </w:r>
          </w:p>
        </w:tc>
        <w:tc>
          <w:tcPr>
            <w:tcW w:type="pct" w:w="20%"/>
            <w:tcMar>
              <w:top w:type="dxa" w:w="80"/>
              <w:left w:type="dxa" w:w="100"/>
              <w:bottom w:type="dxa" w:w="80"/>
              <w:right w:type="dxa" w:w="100"/>
            </w:tcMar>
            <w:vAlign w:val="center"/>
          </w:tcPr>
          <w:p>
            <w:pPr>
              <w:jc w:val="left"/>
            </w:pPr>
            <w:r>
              <w:rPr>
                <w:b/>
                <w:bCs/>
                <w:color w:val="000000"/>
                <w:sz w:val="18"/>
                <w:szCs w:val="18"/>
              </w:rPr>
              <w:t xml:space="preserve">Agenda do profissional</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Profissional gerencia sua disponibilidade e agenda de atendimentos dentro da plataforma.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RF39</w:t>
            </w:r>
          </w:p>
        </w:tc>
        <w:tc>
          <w:tcPr>
            <w:tcW w:type="pct" w:w="20%"/>
            <w:tcMar>
              <w:top w:type="dxa" w:w="80"/>
              <w:left w:type="dxa" w:w="100"/>
              <w:bottom w:type="dxa" w:w="80"/>
              <w:right w:type="dxa" w:w="100"/>
            </w:tcMar>
            <w:vAlign w:val="center"/>
          </w:tcPr>
          <w:p>
            <w:pPr>
              <w:jc w:val="left"/>
            </w:pPr>
            <w:r>
              <w:rPr>
                <w:b/>
                <w:bCs/>
                <w:color w:val="000000"/>
                <w:sz w:val="18"/>
                <w:szCs w:val="18"/>
              </w:rPr>
              <w:t xml:space="preserve">Avaliação do profissional</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Dono do brechó avalia o serviço prestado com nota e comentário, compondo a reputação pública do profissional.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RF40</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Disputa de serviço</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Contratante pode abrir disputa em caso de serviço não executado ou insatisfatório. Plataforma media e decide sobre o saldo retido. Caso alguma das partes não concorde com a decisão, o caso pode ser escalado para a ouvidoria (RF65).</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3A3A" w:val="clear"/>
            <w:tcMar>
              <w:top w:type="dxa" w:w="100"/>
              <w:left w:type="dxa" w:w="120"/>
              <w:bottom w:type="dxa" w:w="100"/>
              <w:right w:type="dxa" w:w="120"/>
            </w:tcMar>
          </w:tcPr>
          <w:p>
            <w:r>
              <w:rPr>
                <w:b/>
                <w:bCs/>
                <w:color w:val="FFFFFF"/>
                <w:sz w:val="22"/>
                <w:szCs w:val="22"/>
              </w:rPr>
              <w:t xml:space="preserve">RF7 — Gestão de Loja (Estoque, Caixa e Financeiro)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RF41</w:t>
            </w:r>
          </w:p>
        </w:tc>
        <w:tc>
          <w:tcPr>
            <w:tcW w:type="pct" w:w="20%"/>
            <w:tcMar>
              <w:top w:type="dxa" w:w="80"/>
              <w:left w:type="dxa" w:w="100"/>
              <w:bottom w:type="dxa" w:w="80"/>
              <w:right w:type="dxa" w:w="100"/>
            </w:tcMar>
            <w:vAlign w:val="center"/>
          </w:tcPr>
          <w:p>
            <w:pPr>
              <w:jc w:val="left"/>
            </w:pPr>
            <w:r>
              <w:rPr>
                <w:b/>
                <w:bCs/>
                <w:color w:val="000000"/>
                <w:sz w:val="18"/>
                <w:szCs w:val="18"/>
              </w:rPr>
              <w:t xml:space="preserve">Gestão de estoque</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Controle de entrada e saída de peças, quantidade disponível por item e alertas de baixo estoque.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RF42</w:t>
            </w:r>
          </w:p>
        </w:tc>
        <w:tc>
          <w:tcPr>
            <w:tcW w:type="pct" w:w="20%"/>
            <w:tcMar>
              <w:top w:type="dxa" w:w="80"/>
              <w:left w:type="dxa" w:w="100"/>
              <w:bottom w:type="dxa" w:w="80"/>
              <w:right w:type="dxa" w:w="100"/>
            </w:tcMar>
            <w:vAlign w:val="center"/>
          </w:tcPr>
          <w:p>
            <w:pPr>
              <w:jc w:val="left"/>
            </w:pPr>
            <w:r>
              <w:rPr>
                <w:b/>
                <w:bCs/>
                <w:color w:val="000000"/>
                <w:sz w:val="18"/>
                <w:szCs w:val="18"/>
              </w:rPr>
              <w:t xml:space="preserve">Caixa / PDV</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Módulo de ponto de venda para registrar vendas presenciais realizadas na loja física do brechó.</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RF43</w:t>
            </w:r>
          </w:p>
        </w:tc>
        <w:tc>
          <w:tcPr>
            <w:tcW w:type="pct" w:w="20%"/>
            <w:tcMar>
              <w:top w:type="dxa" w:w="80"/>
              <w:left w:type="dxa" w:w="100"/>
              <w:bottom w:type="dxa" w:w="80"/>
              <w:right w:type="dxa" w:w="100"/>
            </w:tcMar>
            <w:vAlign w:val="center"/>
          </w:tcPr>
          <w:p>
            <w:pPr>
              <w:jc w:val="left"/>
            </w:pPr>
            <w:r>
              <w:rPr>
                <w:b/>
                <w:bCs/>
                <w:color w:val="000000"/>
                <w:sz w:val="18"/>
                <w:szCs w:val="18"/>
              </w:rPr>
              <w:t xml:space="preserve">Emissão de comprovante</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Geração de recibo/comprovante de venda digital para entrega ao cliente.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RF44</w:t>
            </w:r>
          </w:p>
        </w:tc>
        <w:tc>
          <w:tcPr>
            <w:tcW w:type="pct" w:w="20%"/>
            <w:tcMar>
              <w:top w:type="dxa" w:w="80"/>
              <w:left w:type="dxa" w:w="100"/>
              <w:bottom w:type="dxa" w:w="80"/>
              <w:right w:type="dxa" w:w="100"/>
            </w:tcMar>
            <w:vAlign w:val="center"/>
          </w:tcPr>
          <w:p>
            <w:pPr>
              <w:jc w:val="left"/>
            </w:pPr>
            <w:r>
              <w:rPr>
                <w:b/>
                <w:bCs/>
                <w:color w:val="000000"/>
                <w:sz w:val="18"/>
                <w:szCs w:val="18"/>
              </w:rPr>
              <w:t xml:space="preserve">Relatórios financeiros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DRE simplificado, fluxo de caixa e relatório de vendas por período, por categoria e por canal (online/físico).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RF45</w:t>
            </w:r>
          </w:p>
        </w:tc>
        <w:tc>
          <w:tcPr>
            <w:tcW w:type="pct" w:w="20%"/>
            <w:tcMar>
              <w:top w:type="dxa" w:w="80"/>
              <w:left w:type="dxa" w:w="100"/>
              <w:bottom w:type="dxa" w:w="80"/>
              <w:right w:type="dxa" w:w="100"/>
            </w:tcMar>
            <w:vAlign w:val="center"/>
          </w:tcPr>
          <w:p>
            <w:pPr>
              <w:jc w:val="left"/>
            </w:pPr>
            <w:r>
              <w:rPr>
                <w:b/>
                <w:bCs/>
                <w:color w:val="000000"/>
                <w:sz w:val="18"/>
                <w:szCs w:val="18"/>
              </w:rPr>
              <w:t xml:space="preserve">Taxa sobre vendas via ferramentas de gestão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Plataforma cobra 15% sobre as vendas processadas pelo módulo de caixa/PDV e gestão de loja, substituindo a comissão padrão de 10% do marketplace nessas vendas.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RF46</w:t>
            </w:r>
          </w:p>
        </w:tc>
        <w:tc>
          <w:tcPr>
            <w:tcW w:type="pct" w:w="20%"/>
            <w:tcMar>
              <w:top w:type="dxa" w:w="80"/>
              <w:left w:type="dxa" w:w="100"/>
              <w:bottom w:type="dxa" w:w="80"/>
              <w:right w:type="dxa" w:w="100"/>
            </w:tcMar>
            <w:vAlign w:val="center"/>
          </w:tcPr>
          <w:p>
            <w:pPr>
              <w:jc w:val="left"/>
            </w:pPr>
            <w:r>
              <w:rPr>
                <w:b/>
                <w:bCs/>
                <w:color w:val="000000"/>
                <w:sz w:val="18"/>
                <w:szCs w:val="18"/>
              </w:rPr>
              <w:t xml:space="preserve">Dashboard da loja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Painel único com vendas, estoque, avaliações, cupons ativos e desempenho geral da loja.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RF47</w:t>
            </w:r>
          </w:p>
        </w:tc>
        <w:tc>
          <w:tcPr>
            <w:tcW w:type="pct" w:w="20%"/>
            <w:tcMar>
              <w:top w:type="dxa" w:w="80"/>
              <w:left w:type="dxa" w:w="100"/>
              <w:bottom w:type="dxa" w:w="80"/>
              <w:right w:type="dxa" w:w="100"/>
            </w:tcMar>
            <w:vAlign w:val="center"/>
          </w:tcPr>
          <w:p>
            <w:pPr>
              <w:jc w:val="left"/>
            </w:pPr>
            <w:r>
              <w:rPr>
                <w:b/>
                <w:bCs/>
                <w:color w:val="000000"/>
                <w:sz w:val="18"/>
                <w:szCs w:val="18"/>
              </w:rPr>
              <w:t xml:space="preserve">Conciliação financeira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Integração entre vendas do marketplace, vendas do caixa físico e repasses, consolidando o extrato completo da loja.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3A3A" w:val="clear"/>
            <w:tcMar>
              <w:top w:type="dxa" w:w="100"/>
              <w:left w:type="dxa" w:w="120"/>
              <w:bottom w:type="dxa" w:w="100"/>
              <w:right w:type="dxa" w:w="120"/>
            </w:tcMar>
          </w:tcPr>
          <w:p>
            <w:r>
              <w:rPr>
                <w:b/>
                <w:bCs/>
                <w:color w:val="FFFFFF"/>
                <w:sz w:val="22"/>
                <w:szCs w:val="22"/>
              </w:rPr>
              <w:t xml:space="preserve">RF8 — Painel Administrativo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RF48</w:t>
            </w:r>
          </w:p>
        </w:tc>
        <w:tc>
          <w:tcPr>
            <w:tcW w:type="pct" w:w="20%"/>
            <w:tcMar>
              <w:top w:type="dxa" w:w="80"/>
              <w:left w:type="dxa" w:w="100"/>
              <w:bottom w:type="dxa" w:w="80"/>
              <w:right w:type="dxa" w:w="100"/>
            </w:tcMar>
            <w:vAlign w:val="center"/>
          </w:tcPr>
          <w:p>
            <w:pPr>
              <w:jc w:val="left"/>
            </w:pPr>
            <w:r>
              <w:rPr>
                <w:b/>
                <w:bCs/>
                <w:color w:val="000000"/>
                <w:sz w:val="18"/>
                <w:szCs w:val="18"/>
              </w:rPr>
              <w:t xml:space="preserve">Aprovação de lojas e profissionais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Administrador analisa e aprova ou reprova cadastros de novos brechós/bazares e de profissionais autônomos.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RF49</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Moderação de anúncios e denúncias</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Administrador modera peças anunciadas, avaliações e denúncias de usuários. Denúncias que configurem impasse entre partes são encaminhadas à fila da ouvidoria (RF66).</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RF50</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Gestão de comissões e repasses</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Painel consolidado com as comissões de 10% (vendas e serviços) e 15% (gestão de loja), o repasse de 1% aos parceiros institucionais vinculados, repasses realizados e taxas retidas.</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RF51</w:t>
            </w:r>
          </w:p>
        </w:tc>
        <w:tc>
          <w:tcPr>
            <w:tcW w:type="pct" w:w="20%"/>
            <w:tcMar>
              <w:top w:type="dxa" w:w="80"/>
              <w:left w:type="dxa" w:w="100"/>
              <w:bottom w:type="dxa" w:w="80"/>
              <w:right w:type="dxa" w:w="100"/>
            </w:tcMar>
            <w:vAlign w:val="center"/>
          </w:tcPr>
          <w:p>
            <w:pPr>
              <w:jc w:val="left"/>
            </w:pPr>
            <w:r>
              <w:rPr>
                <w:b/>
                <w:bCs/>
                <w:color w:val="000000"/>
                <w:sz w:val="18"/>
                <w:szCs w:val="18"/>
              </w:rPr>
              <w:t xml:space="preserve">Relatórios gerenciais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Métricas de crescimento, GMV, número de lojas ativas por estado e volume de trocas realizadas em todo o Brasil.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3A3A" w:val="clear"/>
            <w:tcMar>
              <w:top w:type="dxa" w:w="100"/>
              <w:left w:type="dxa" w:w="120"/>
              <w:bottom w:type="dxa" w:w="100"/>
              <w:right w:type="dxa" w:w="120"/>
            </w:tcMar>
          </w:tcPr>
          <w:p>
            <w:r>
              <w:rPr>
                <w:b/>
                <w:bCs/>
                <w:color w:val="FFFFFF"/>
                <w:sz w:val="22"/>
                <w:szCs w:val="22"/>
              </w:rPr>
              <w:t xml:space="preserve">RF9 — Notificações e Comunicação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RF52</w:t>
            </w:r>
          </w:p>
        </w:tc>
        <w:tc>
          <w:tcPr>
            <w:tcW w:type="pct" w:w="20%"/>
            <w:tcMar>
              <w:top w:type="dxa" w:w="80"/>
              <w:left w:type="dxa" w:w="100"/>
              <w:bottom w:type="dxa" w:w="80"/>
              <w:right w:type="dxa" w:w="100"/>
            </w:tcMar>
            <w:vAlign w:val="center"/>
          </w:tcPr>
          <w:p>
            <w:pPr>
              <w:jc w:val="left"/>
            </w:pPr>
            <w:r>
              <w:rPr>
                <w:b/>
                <w:bCs/>
                <w:color w:val="000000"/>
                <w:sz w:val="18"/>
                <w:szCs w:val="18"/>
              </w:rPr>
              <w:t xml:space="preserve">Notificações push</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Alertas em tempo real para novas propostas, mensagens no chat, status de pedido, cupons disponíveis e peças desejadas.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RF53</w:t>
            </w:r>
          </w:p>
        </w:tc>
        <w:tc>
          <w:tcPr>
            <w:tcW w:type="pct" w:w="20%"/>
            <w:tcMar>
              <w:top w:type="dxa" w:w="80"/>
              <w:left w:type="dxa" w:w="100"/>
              <w:bottom w:type="dxa" w:w="80"/>
              <w:right w:type="dxa" w:w="100"/>
            </w:tcMar>
            <w:vAlign w:val="center"/>
          </w:tcPr>
          <w:p>
            <w:pPr>
              <w:jc w:val="left"/>
            </w:pPr>
            <w:r>
              <w:rPr>
                <w:b/>
                <w:bCs/>
                <w:color w:val="000000"/>
                <w:sz w:val="18"/>
                <w:szCs w:val="18"/>
              </w:rPr>
              <w:t xml:space="preserve">E-mail transacional</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E-mails para confirmação de cadastro, compra efetuada, envio realizado, recebimento confirmado, repasse e contratação de serviço.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RF54</w:t>
            </w:r>
          </w:p>
        </w:tc>
        <w:tc>
          <w:tcPr>
            <w:tcW w:type="pct" w:w="20%"/>
            <w:tcMar>
              <w:top w:type="dxa" w:w="80"/>
              <w:left w:type="dxa" w:w="100"/>
              <w:bottom w:type="dxa" w:w="80"/>
              <w:right w:type="dxa" w:w="100"/>
            </w:tcMar>
            <w:vAlign w:val="center"/>
          </w:tcPr>
          <w:p>
            <w:pPr>
              <w:jc w:val="left"/>
            </w:pPr>
            <w:r>
              <w:rPr>
                <w:b/>
                <w:bCs/>
                <w:color w:val="000000"/>
                <w:sz w:val="18"/>
                <w:szCs w:val="18"/>
              </w:rPr>
              <w:t xml:space="preserve">Chat entre usuários</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Chat nativo para negociação de trocas, combinação de entregas e comunicação entre lojista e profissional autônomo. Mensagens criptografadas.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RF55</w:t>
            </w:r>
          </w:p>
        </w:tc>
        <w:tc>
          <w:tcPr>
            <w:tcW w:type="pct" w:w="20%"/>
            <w:tcMar>
              <w:top w:type="dxa" w:w="80"/>
              <w:left w:type="dxa" w:w="100"/>
              <w:bottom w:type="dxa" w:w="80"/>
              <w:right w:type="dxa" w:w="100"/>
            </w:tcMar>
            <w:vAlign w:val="center"/>
          </w:tcPr>
          <w:p>
            <w:pPr>
              <w:jc w:val="left"/>
            </w:pPr>
            <w:r>
              <w:rPr>
                <w:b/>
                <w:bCs/>
                <w:color w:val="000000"/>
                <w:sz w:val="18"/>
                <w:szCs w:val="18"/>
              </w:rPr>
              <w:t xml:space="preserve">Central de ajuda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FAQ, tutoriais em vídeo e canal de suporte via chat com atendente em horário comercial.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E7D5B" w:val="clear"/>
            <w:tcMar>
              <w:top w:type="dxa" w:w="100"/>
              <w:left w:type="dxa" w:w="120"/>
              <w:bottom w:type="dxa" w:w="100"/>
              <w:right w:type="dxa" w:w="120"/>
            </w:tcMar>
          </w:tcPr>
          <w:p>
            <w:r>
              <w:rPr>
                <w:b/>
                <w:bCs/>
                <w:color w:val="FFFFFF"/>
                <w:sz w:val="22"/>
                <w:szCs w:val="22"/>
              </w:rPr>
              <w:t xml:space="preserve">RF10 — Ateliês, Artesãos, Produtores Independentes e Cursos</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RF56</w:t>
            </w:r>
          </w:p>
        </w:tc>
        <w:tc>
          <w:tcPr>
            <w:tcW w:type="pct" w:w="20%"/>
            <w:tcMar>
              <w:top w:type="dxa" w:w="80"/>
              <w:left w:type="dxa" w:w="100"/>
              <w:bottom w:type="dxa" w:w="80"/>
              <w:right w:type="dxa" w:w="100"/>
            </w:tcMar>
            <w:vAlign w:val="center"/>
          </w:tcPr>
          <w:p>
            <w:pPr>
              <w:jc w:val="left"/>
            </w:pPr>
            <w:r>
              <w:rPr>
                <w:b/>
                <w:bCs/>
                <w:color w:val="000000"/>
                <w:sz w:val="18"/>
                <w:szCs w:val="18"/>
              </w:rPr>
              <w:t xml:space="preserve">Loja de ateliê e artesanato</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Artesãos, crocheteiros, costureiros, ceramistas e demais produtores independentes podem criar loja própria na plataforma, com vitrine, catálogo e cupons, nos mesmos moldes de um brechó.</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RF57</w:t>
            </w:r>
          </w:p>
        </w:tc>
        <w:tc>
          <w:tcPr>
            <w:tcW w:type="pct" w:w="20%"/>
            <w:tcMar>
              <w:top w:type="dxa" w:w="80"/>
              <w:left w:type="dxa" w:w="100"/>
              <w:bottom w:type="dxa" w:w="80"/>
              <w:right w:type="dxa" w:w="100"/>
            </w:tcMar>
            <w:vAlign w:val="center"/>
          </w:tcPr>
          <w:p>
            <w:pPr>
              <w:jc w:val="left"/>
            </w:pPr>
            <w:r>
              <w:rPr>
                <w:b/>
                <w:bCs/>
                <w:color w:val="000000"/>
                <w:sz w:val="18"/>
                <w:szCs w:val="18"/>
              </w:rPr>
              <w:t xml:space="preserve">Categoria de peça artesanal</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Anúncio distingue peça usada (brechó/bazar) de peça nova feita à mão (artesanato), com subcategorias como crochê, tricô, bordado, cerâmica, bijuteria e marcenaria.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RF58</w:t>
            </w:r>
          </w:p>
        </w:tc>
        <w:tc>
          <w:tcPr>
            <w:tcW w:type="pct" w:w="20%"/>
            <w:tcMar>
              <w:top w:type="dxa" w:w="80"/>
              <w:left w:type="dxa" w:w="100"/>
              <w:bottom w:type="dxa" w:w="80"/>
              <w:right w:type="dxa" w:w="100"/>
            </w:tcMar>
            <w:vAlign w:val="center"/>
          </w:tcPr>
          <w:p>
            <w:pPr>
              <w:jc w:val="left"/>
            </w:pPr>
            <w:r>
              <w:rPr>
                <w:b/>
                <w:bCs/>
                <w:color w:val="000000"/>
                <w:sz w:val="18"/>
                <w:szCs w:val="18"/>
              </w:rPr>
              <w:t xml:space="preserve">Encomenda personalizada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Vendedor pode anunciar item sob encomenda, informando prazo de produção e opções de personalização (cor, tamanho, texto, medidas). Comprador acompanha o status da produção pelo chat.</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Alta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RF59</w:t>
            </w:r>
          </w:p>
        </w:tc>
        <w:tc>
          <w:tcPr>
            <w:tcW w:type="pct" w:w="20%"/>
            <w:tcMar>
              <w:top w:type="dxa" w:w="80"/>
              <w:left w:type="dxa" w:w="100"/>
              <w:bottom w:type="dxa" w:w="80"/>
              <w:right w:type="dxa" w:w="100"/>
            </w:tcMar>
            <w:vAlign w:val="center"/>
          </w:tcPr>
          <w:p>
            <w:pPr>
              <w:jc w:val="left"/>
            </w:pPr>
            <w:r>
              <w:rPr>
                <w:b/>
                <w:bCs/>
                <w:color w:val="000000"/>
                <w:sz w:val="18"/>
                <w:szCs w:val="18"/>
              </w:rPr>
              <w:t xml:space="preserve">Pagamento de encomenda</w:t>
            </w:r>
          </w:p>
        </w:tc>
        <w:tc>
          <w:tcPr>
            <w:tcW w:type="pct" w:w="57%"/>
            <w:tcMar>
              <w:top w:type="dxa" w:w="80"/>
              <w:left w:type="dxa" w:w="100"/>
              <w:bottom w:type="dxa" w:w="80"/>
              <w:right w:type="dxa" w:w="100"/>
            </w:tcMar>
            <w:vAlign w:val="center"/>
          </w:tcPr>
          <w:p>
            <w:pPr>
              <w:jc w:val="left"/>
            </w:pPr>
            <w:r>
              <w:rPr>
                <w:b w:val="false"/>
                <w:bCs w:val="false"/>
                <w:color w:val="000000"/>
                <w:sz w:val="18"/>
                <w:szCs w:val="18"/>
              </w:rPr>
              <w:t xml:space="preserve">Para itens sob encomenda, o sistema pode reter um sinal (percentual configurável pelo vendedor) no início da produção, liberando o restante após confirmação de entrega — seguindo a mesma lógica de escrow do RF17.</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Média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RF60</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Venda de cursos de artesanato</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Qualquer artesão, produtor independente ou usuário interessado pode criar e vender cursos digitais (vídeo-aulas, apostilas, lives) ensinando como suas peças são feitas. O curso é anunciado na loja do vendedor em categoria própria ("Cursos") e o acesso é liberado ao comprador após confirmação do pagamento via Mercado Pago. Aplica-se a comissão padrão de 10% do marketplace (RF18).</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RF11 — Parceiros Institucionais e Entrega  [NOVO v1.1]</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RF61</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Cadastro de parceiro institucional</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Pontos de retirada, ONGs de sustentabilidade e iniciativas de moda circular interessados em ser parceiros da plataforma realizam cadastro informando dados institucionais, documentação e área de atuação. Cadastro fica pendente até análise.</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RF62</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Aprovação de parceiro institucional</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Administrador analisa o cadastro do parceiro institucional e aprova ou reprova sua ativação na plataforma, nos mesmos moldes da aprovação de lojistas (RF48).</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RF63</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Repasse ao parceiro institucional</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Quando uma venda do marketplace é originada ou indicada por um parceiro institucional aprovado, a plataforma destina 1 ponto percentual (1%) dos 10% de comissão retidos sobre essa venda ao parceiro vinculado, ficando 9% para a plataforma. O repasse segue o mesmo ciclo de liberação do escrow (RF17) e é processado via split automático do Mercado Pago (RNF23). Parceiro acompanha valores a receber e já repassados em painel próprio.</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RF64</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Serviço de entrega da plataforma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Plataforma pode oferecer serviço de entrega próprio ou parceiro logístico integrado (nos moldes de serviços como o da Shopee), como alternativa aos Correios ou combinação presencial. O custo do frete é calculado no checkout e pago integralmente pelo comprador; a plataforma não subsidia nem absorve esse custo. Disponível para vendas do marketplace e para trocas com complemento.</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Média</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3A3A" w:val="clear"/>
            <w:tcMar>
              <w:top w:type="dxa" w:w="100"/>
              <w:left w:type="dxa" w:w="120"/>
              <w:bottom w:type="dxa" w:w="100"/>
              <w:right w:type="dxa" w:w="120"/>
            </w:tcMar>
          </w:tcPr>
          <w:p>
            <w:r>
              <w:rPr>
                <w:b/>
                <w:bCs/>
                <w:color w:val="FFFFFF"/>
                <w:sz w:val="22"/>
                <w:szCs w:val="22"/>
              </w:rPr>
              <w:t xml:space="preserve">RF12 — Ouvidoria e Reputação  [NOVO v1.1]</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20%"/>
            <w:shd w:fill="1F4E79" w:val="clear"/>
            <w:tcMar>
              <w:top w:type="dxa" w:w="80"/>
              <w:left w:type="dxa" w:w="100"/>
              <w:bottom w:type="dxa" w:w="80"/>
              <w:right w:type="dxa" w:w="100"/>
            </w:tcMar>
            <w:vAlign w:val="center"/>
          </w:tcPr>
          <w:p>
            <w:r>
              <w:rPr>
                <w:b/>
                <w:bCs/>
                <w:color w:val="FFFFFF"/>
                <w:sz w:val="18"/>
                <w:szCs w:val="18"/>
              </w:rPr>
              <w:t xml:space="preserve">Nome</w:t>
            </w:r>
          </w:p>
        </w:tc>
        <w:tc>
          <w:tcPr>
            <w:tcW w:type="pct" w:w="57%"/>
            <w:shd w:fill="1F4E79" w:val="clear"/>
            <w:tcMar>
              <w:top w:type="dxa" w:w="80"/>
              <w:left w:type="dxa" w:w="100"/>
              <w:bottom w:type="dxa" w:w="80"/>
              <w:right w:type="dxa" w:w="100"/>
            </w:tcMar>
            <w:vAlign w:val="center"/>
          </w:tcPr>
          <w:p>
            <w:r>
              <w:rPr>
                <w:b/>
                <w:bCs/>
                <w:color w:val="FFFFFF"/>
                <w:sz w:val="18"/>
                <w:szCs w:val="18"/>
              </w:rPr>
              <w:t xml:space="preserve">Descrição</w:t>
            </w:r>
          </w:p>
        </w:tc>
        <w:tc>
          <w:tcPr>
            <w:tcW w:type="pct" w:w="15%"/>
            <w:shd w:fill="1F4E79" w:val="clear"/>
            <w:tcMar>
              <w:top w:type="dxa" w:w="80"/>
              <w:left w:type="dxa" w:w="100"/>
              <w:bottom w:type="dxa" w:w="80"/>
              <w:right w:type="dxa" w:w="100"/>
            </w:tcMar>
            <w:vAlign w:val="center"/>
          </w:tcPr>
          <w:p>
            <w:r>
              <w:rPr>
                <w:b/>
                <w:bCs/>
                <w:color w:val="FFFFFF"/>
                <w:sz w:val="18"/>
                <w:szCs w:val="18"/>
              </w:rPr>
              <w:t xml:space="preserve">Prioridade</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RF65</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Abertura de chamado na ouvidoria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Qualquer usuário (cliente, lojista, profissional autônomo ou parceiro institucional) pode abrir um chamado de ouvidoria quando um impasse não for resolvido pelo chat, pela disputa de transação (RF21) ou pela disputa de serviço (RF40), ou quando o motivo não estiver ligado a uma transação específica (ex.: denúncia de conduta, discriminação, descumprimento de avaliação). Chamado exige categoria, descrição e, quando aplicável, transação vinculada.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RF66</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Fluxo de atendimento da ouvidoria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Chamado é direcionado a uma fila exclusiva do administrador, separada da moderação de anúncios (RF49). Administrador pode solicitar informações e evidências adicionais às partes envolvidas pelo chat do chamado. Prazo-alvo de resposta inicial de até 2 dias úteis e decisão em até 10 dias úteis.</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RF67</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Decisão da ouvidoria</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Administrador registra decisão final do chamado, podendo determinar reembolso, liberação ou retenção de saldo, advertência, suspensão temporária ou banimento do perfil responsável. Decisão é comunicada às partes por notificação e e-mail e fica registrada no histórico do chamado e no RF12 (auditoria).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RF68</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Reincidência e penalidades</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Sistema contabiliza avaliações negativas e decisões desfavoráveis da ouvidoria por perfil. Administrador é alertado em caso de reincidência e pode aplicar penalidades progressivas (advertência, suspensão, banimento), conforme critérios definidos pela plataforma.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Alta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RF69</w:t>
            </w:r>
          </w:p>
        </w:tc>
        <w:tc>
          <w:tcPr>
            <w:tcW w:type="pct" w:w="20%"/>
            <w:shd w:fill="FFF2CC" w:val="clear"/>
            <w:tcMar>
              <w:top w:type="dxa" w:w="80"/>
              <w:left w:type="dxa" w:w="100"/>
              <w:bottom w:type="dxa" w:w="80"/>
              <w:right w:type="dxa" w:w="100"/>
            </w:tcMar>
            <w:vAlign w:val="center"/>
          </w:tcPr>
          <w:p>
            <w:pPr>
              <w:jc w:val="left"/>
            </w:pPr>
            <w:r>
              <w:rPr>
                <w:b/>
                <w:bCs/>
                <w:color w:val="7F5A00"/>
                <w:sz w:val="18"/>
                <w:szCs w:val="18"/>
              </w:rPr>
              <w:t xml:space="preserve">Painel de reputação consolidado</w:t>
            </w:r>
          </w:p>
        </w:tc>
        <w:tc>
          <w:tcPr>
            <w:tcW w:type="pct" w:w="57%"/>
            <w:shd w:fill="FFF2CC" w:val="clear"/>
            <w:tcMar>
              <w:top w:type="dxa" w:w="80"/>
              <w:left w:type="dxa" w:w="100"/>
              <w:bottom w:type="dxa" w:w="80"/>
              <w:right w:type="dxa" w:w="100"/>
            </w:tcMar>
            <w:vAlign w:val="center"/>
          </w:tcPr>
          <w:p>
            <w:pPr>
              <w:jc w:val="left"/>
            </w:pPr>
            <w:r>
              <w:rPr>
                <w:b w:val="false"/>
                <w:bCs w:val="false"/>
                <w:color w:val="7F5A00"/>
                <w:sz w:val="18"/>
                <w:szCs w:val="18"/>
              </w:rPr>
              <w:t xml:space="preserve">Cada perfil (cliente, lojista, profissional autônomo ou parceiro institucional) possui reputação pública consolidada a partir das avaliações recebidas (RF06), do histórico de disputas (RF21, RF40) e de decisões da ouvidoria (RF67). Reputação é exibida no perfil e considerada pelo administrador em aprovações futuras (RF05, RF48, RF62).</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Média</w:t>
            </w:r>
          </w:p>
        </w:tc>
      </w:tr>
    </w:tbl>
    <w:p>
      <w:pPr>
        <w:spacing w:after="200" w:before="200"/>
      </w:pPr>
    </w:p>
    <w:p>
      <w:r>
        <w:br w:type="page"/>
      </w:r>
    </w:p>
    <w:p>
      <w:pPr>
        <w:pStyle w:val="Heading1"/>
        <w:spacing w:after="150" w:before="300"/>
      </w:pPr>
      <w:r>
        <w:rPr>
          <w:b/>
          <w:bCs/>
          <w:color w:val="1F4E79"/>
          <w:sz w:val="30"/>
          <w:szCs w:val="30"/>
        </w:rPr>
        <w:t xml:space="preserve">3. Requisitos Não Funcionais</w:t>
      </w:r>
    </w:p>
    <w:p>
      <w:pPr>
        <w:spacing w:after="120"/>
      </w:pPr>
      <w:r>
        <w:rPr>
          <w:b w:val="false"/>
          <w:bCs w:val="false"/>
          <w:sz w:val="20"/>
          <w:szCs w:val="20"/>
        </w:rPr>
        <w:t xml:space="preserve">Descrevem como o sistema deve se comportar — qualidade, desempenho, segurança e restrições técnicas.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RNF1 — Desempenho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18%"/>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59%"/>
            <w:shd w:fill="1F4E79" w:val="clear"/>
            <w:tcMar>
              <w:top w:type="dxa" w:w="80"/>
              <w:left w:type="dxa" w:w="100"/>
              <w:bottom w:type="dxa" w:w="80"/>
              <w:right w:type="dxa" w:w="100"/>
            </w:tcMar>
            <w:vAlign w:val="center"/>
          </w:tcPr>
          <w:p>
            <w:r>
              <w:rPr>
                <w:b/>
                <w:bCs/>
                <w:color w:val="FFFFFF"/>
                <w:sz w:val="18"/>
                <w:szCs w:val="18"/>
              </w:rPr>
              <w:t xml:space="preserve">Requisito</w:t>
            </w:r>
          </w:p>
        </w:tc>
        <w:tc>
          <w:tcPr>
            <w:tcW w:type="pct" w:w="15%"/>
            <w:shd w:fill="1F4E79" w:val="clear"/>
            <w:tcMar>
              <w:top w:type="dxa" w:w="80"/>
              <w:left w:type="dxa" w:w="100"/>
              <w:bottom w:type="dxa" w:w="80"/>
              <w:right w:type="dxa" w:w="100"/>
            </w:tcMar>
            <w:vAlign w:val="center"/>
          </w:tcPr>
          <w:p>
            <w:r>
              <w:rPr>
                <w:b/>
                <w:bCs/>
                <w:color w:val="FFFFFF"/>
                <w:sz w:val="18"/>
                <w:szCs w:val="18"/>
              </w:rPr>
              <w:t xml:space="preserve">Métrica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RNF01</w:t>
            </w:r>
          </w:p>
        </w:tc>
        <w:tc>
          <w:tcPr>
            <w:tcW w:type="pct" w:w="18%"/>
            <w:tcMar>
              <w:top w:type="dxa" w:w="80"/>
              <w:left w:type="dxa" w:w="100"/>
              <w:bottom w:type="dxa" w:w="80"/>
              <w:right w:type="dxa" w:w="100"/>
            </w:tcMar>
            <w:vAlign w:val="center"/>
          </w:tcPr>
          <w:p>
            <w:pPr>
              <w:jc w:val="left"/>
            </w:pPr>
            <w:r>
              <w:rPr>
                <w:b/>
                <w:bCs/>
                <w:color w:val="000000"/>
                <w:sz w:val="18"/>
                <w:szCs w:val="18"/>
              </w:rPr>
              <w:t xml:space="preserve">Tempo de resposta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Páginas devem carregar em menos de 2 segundos em conexão 4G para 95% das requisições.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&lt; 2s (P95)</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RNF02</w:t>
            </w:r>
          </w:p>
        </w:tc>
        <w:tc>
          <w:tcPr>
            <w:tcW w:type="pct" w:w="18%"/>
            <w:tcMar>
              <w:top w:type="dxa" w:w="80"/>
              <w:left w:type="dxa" w:w="100"/>
              <w:bottom w:type="dxa" w:w="80"/>
              <w:right w:type="dxa" w:w="100"/>
            </w:tcMar>
            <w:vAlign w:val="center"/>
          </w:tcPr>
          <w:p>
            <w:pPr>
              <w:jc w:val="left"/>
            </w:pPr>
            <w:r>
              <w:rPr>
                <w:b/>
                <w:bCs/>
                <w:color w:val="000000"/>
                <w:sz w:val="18"/>
                <w:szCs w:val="18"/>
              </w:rPr>
              <w:t xml:space="preserve">Busca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Resultados de busca entregues em menos de 500ms, independentemente do volume do catálogo nacional.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&lt; 500ms</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RNF03</w:t>
            </w:r>
          </w:p>
        </w:tc>
        <w:tc>
          <w:tcPr>
            <w:tcW w:type="pct" w:w="18%"/>
            <w:tcMar>
              <w:top w:type="dxa" w:w="80"/>
              <w:left w:type="dxa" w:w="100"/>
              <w:bottom w:type="dxa" w:w="80"/>
              <w:right w:type="dxa" w:w="100"/>
            </w:tcMar>
            <w:vAlign w:val="center"/>
          </w:tcPr>
          <w:p>
            <w:pPr>
              <w:jc w:val="left"/>
            </w:pPr>
            <w:r>
              <w:rPr>
                <w:b/>
                <w:bCs/>
                <w:color w:val="000000"/>
                <w:sz w:val="18"/>
                <w:szCs w:val="18"/>
              </w:rPr>
              <w:t xml:space="preserve">Disponibilidade</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Sistema disponível 99,5% do tempo (downtime máximo de ~3,6h por mês). SLA monitorado.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99,5% uptime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RNF04</w:t>
            </w:r>
          </w:p>
        </w:tc>
        <w:tc>
          <w:tcPr>
            <w:tcW w:type="pct" w:w="18%"/>
            <w:tcMar>
              <w:top w:type="dxa" w:w="80"/>
              <w:left w:type="dxa" w:w="100"/>
              <w:bottom w:type="dxa" w:w="80"/>
              <w:right w:type="dxa" w:w="100"/>
            </w:tcMar>
            <w:vAlign w:val="center"/>
          </w:tcPr>
          <w:p>
            <w:pPr>
              <w:jc w:val="left"/>
            </w:pPr>
            <w:r>
              <w:rPr>
                <w:b/>
                <w:bCs/>
                <w:color w:val="000000"/>
                <w:sz w:val="18"/>
                <w:szCs w:val="18"/>
              </w:rPr>
              <w:t xml:space="preserve">Escalabilidade nacional</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Arquitetura deve suportar até 10.000 usuários simultâneos e milhares de lojas ativas em todas as regiões do Brasil, sem degradação perceptível.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10k usuários</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RNF05</w:t>
            </w:r>
          </w:p>
        </w:tc>
        <w:tc>
          <w:tcPr>
            <w:tcW w:type="pct" w:w="18%"/>
            <w:tcMar>
              <w:top w:type="dxa" w:w="80"/>
              <w:left w:type="dxa" w:w="100"/>
              <w:bottom w:type="dxa" w:w="80"/>
              <w:right w:type="dxa" w:w="100"/>
            </w:tcMar>
            <w:vAlign w:val="center"/>
          </w:tcPr>
          <w:p>
            <w:pPr>
              <w:jc w:val="left"/>
            </w:pPr>
            <w:r>
              <w:rPr>
                <w:b/>
                <w:bCs/>
                <w:color w:val="000000"/>
                <w:sz w:val="18"/>
                <w:szCs w:val="18"/>
              </w:rPr>
              <w:t xml:space="preserve">Tamanho de imagem</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Imagens das peças comprimidas automaticamente para no máximo 500KB. Suporte a WebP.</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 500KB</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4E79" w:val="clear"/>
            <w:tcMar>
              <w:top w:type="dxa" w:w="100"/>
              <w:left w:type="dxa" w:w="120"/>
              <w:bottom w:type="dxa" w:w="100"/>
              <w:right w:type="dxa" w:w="120"/>
            </w:tcMar>
          </w:tcPr>
          <w:p>
            <w:r>
              <w:rPr>
                <w:b/>
                <w:bCs/>
                <w:color w:val="FFFFFF"/>
                <w:sz w:val="22"/>
                <w:szCs w:val="22"/>
              </w:rPr>
              <w:t xml:space="preserve">RNF2 — Segurança</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18%"/>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59%"/>
            <w:shd w:fill="1F4E79" w:val="clear"/>
            <w:tcMar>
              <w:top w:type="dxa" w:w="80"/>
              <w:left w:type="dxa" w:w="100"/>
              <w:bottom w:type="dxa" w:w="80"/>
              <w:right w:type="dxa" w:w="100"/>
            </w:tcMar>
            <w:vAlign w:val="center"/>
          </w:tcPr>
          <w:p>
            <w:r>
              <w:rPr>
                <w:b/>
                <w:bCs/>
                <w:color w:val="FFFFFF"/>
                <w:sz w:val="18"/>
                <w:szCs w:val="18"/>
              </w:rPr>
              <w:t xml:space="preserve">Requisito</w:t>
            </w:r>
          </w:p>
        </w:tc>
        <w:tc>
          <w:tcPr>
            <w:tcW w:type="pct" w:w="15%"/>
            <w:shd w:fill="1F4E79" w:val="clear"/>
            <w:tcMar>
              <w:top w:type="dxa" w:w="80"/>
              <w:left w:type="dxa" w:w="100"/>
              <w:bottom w:type="dxa" w:w="80"/>
              <w:right w:type="dxa" w:w="100"/>
            </w:tcMar>
            <w:vAlign w:val="center"/>
          </w:tcPr>
          <w:p>
            <w:r>
              <w:rPr>
                <w:b/>
                <w:bCs/>
                <w:color w:val="FFFFFF"/>
                <w:sz w:val="18"/>
                <w:szCs w:val="18"/>
              </w:rPr>
              <w:t xml:space="preserve">Métrica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RNF06</w:t>
            </w:r>
          </w:p>
        </w:tc>
        <w:tc>
          <w:tcPr>
            <w:tcW w:type="pct" w:w="18%"/>
            <w:tcMar>
              <w:top w:type="dxa" w:w="80"/>
              <w:left w:type="dxa" w:w="100"/>
              <w:bottom w:type="dxa" w:w="80"/>
              <w:right w:type="dxa" w:w="100"/>
            </w:tcMar>
            <w:vAlign w:val="center"/>
          </w:tcPr>
          <w:p>
            <w:pPr>
              <w:jc w:val="left"/>
            </w:pPr>
            <w:r>
              <w:rPr>
                <w:b/>
                <w:bCs/>
                <w:color w:val="000000"/>
                <w:sz w:val="18"/>
                <w:szCs w:val="18"/>
              </w:rPr>
              <w:t xml:space="preserve">HTTPS obrigatório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Toda comunicação entre cliente e servidor via HTTPS/TLS 1.3. Certificado SSL renovado automaticamente.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TLS 1.3</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RNF07</w:t>
            </w:r>
          </w:p>
        </w:tc>
        <w:tc>
          <w:tcPr>
            <w:tcW w:type="pct" w:w="18%"/>
            <w:tcMar>
              <w:top w:type="dxa" w:w="80"/>
              <w:left w:type="dxa" w:w="100"/>
              <w:bottom w:type="dxa" w:w="80"/>
              <w:right w:type="dxa" w:w="100"/>
            </w:tcMar>
            <w:vAlign w:val="center"/>
          </w:tcPr>
          <w:p>
            <w:pPr>
              <w:jc w:val="left"/>
            </w:pPr>
            <w:r>
              <w:rPr>
                <w:b/>
                <w:bCs/>
                <w:color w:val="000000"/>
                <w:sz w:val="18"/>
                <w:szCs w:val="18"/>
              </w:rPr>
              <w:t xml:space="preserve">Senha segura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Senhas armazenadas com hash bcrypt (fator 12+). Exigir mínimo de 8 caracteres com complexidade.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bcrypt 12+</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RNF08</w:t>
            </w:r>
          </w:p>
        </w:tc>
        <w:tc>
          <w:tcPr>
            <w:tcW w:type="pct" w:w="18%"/>
            <w:tcMar>
              <w:top w:type="dxa" w:w="80"/>
              <w:left w:type="dxa" w:w="100"/>
              <w:bottom w:type="dxa" w:w="80"/>
              <w:right w:type="dxa" w:w="100"/>
            </w:tcMar>
            <w:vAlign w:val="center"/>
          </w:tcPr>
          <w:p>
            <w:pPr>
              <w:jc w:val="left"/>
            </w:pPr>
            <w:r>
              <w:rPr>
                <w:b/>
                <w:bCs/>
                <w:color w:val="000000"/>
                <w:sz w:val="18"/>
                <w:szCs w:val="18"/>
              </w:rPr>
              <w:t xml:space="preserve">Autenticação 2FA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Autenticação de dois fatores via SMS ou app autenticador (TOTP), obrigatória para donos de brechó e profissionais autônomos devido à movimentação financeira.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TOTP/SMS</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RNF09</w:t>
            </w:r>
          </w:p>
        </w:tc>
        <w:tc>
          <w:tcPr>
            <w:tcW w:type="pct" w:w="18%"/>
            <w:tcMar>
              <w:top w:type="dxa" w:w="80"/>
              <w:left w:type="dxa" w:w="100"/>
              <w:bottom w:type="dxa" w:w="80"/>
              <w:right w:type="dxa" w:w="100"/>
            </w:tcMar>
            <w:vAlign w:val="center"/>
          </w:tcPr>
          <w:p>
            <w:pPr>
              <w:jc w:val="left"/>
            </w:pPr>
            <w:r>
              <w:rPr>
                <w:b/>
                <w:bCs/>
                <w:color w:val="000000"/>
                <w:sz w:val="18"/>
                <w:szCs w:val="18"/>
              </w:rPr>
              <w:t xml:space="preserve">Token JWT</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Sessões gerenciadas via JWT com expiração de 24h. Refresh token com expiração de 30 dias.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24h / 30d</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RNF10</w:t>
            </w:r>
          </w:p>
        </w:tc>
        <w:tc>
          <w:tcPr>
            <w:tcW w:type="pct" w:w="18%"/>
            <w:tcMar>
              <w:top w:type="dxa" w:w="80"/>
              <w:left w:type="dxa" w:w="100"/>
              <w:bottom w:type="dxa" w:w="80"/>
              <w:right w:type="dxa" w:w="100"/>
            </w:tcMar>
            <w:vAlign w:val="center"/>
          </w:tcPr>
          <w:p>
            <w:pPr>
              <w:jc w:val="left"/>
            </w:pPr>
            <w:r>
              <w:rPr>
                <w:b/>
                <w:bCs/>
                <w:color w:val="000000"/>
                <w:sz w:val="18"/>
                <w:szCs w:val="18"/>
              </w:rPr>
              <w:t xml:space="preserve">Rate limiting</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Limite de 100 requisições por minuto por IP. Bloqueio progressivo em caso de abuso.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100 req/min</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RNF11</w:t>
            </w:r>
          </w:p>
        </w:tc>
        <w:tc>
          <w:tcPr>
            <w:tcW w:type="pct" w:w="18%"/>
            <w:shd w:fill="FFF2CC" w:val="clear"/>
            <w:tcMar>
              <w:top w:type="dxa" w:w="80"/>
              <w:left w:type="dxa" w:w="100"/>
              <w:bottom w:type="dxa" w:w="80"/>
              <w:right w:type="dxa" w:w="100"/>
            </w:tcMar>
            <w:vAlign w:val="center"/>
          </w:tcPr>
          <w:p>
            <w:pPr>
              <w:jc w:val="left"/>
            </w:pPr>
            <w:r>
              <w:rPr>
                <w:b/>
                <w:bCs/>
                <w:color w:val="7F5A00"/>
                <w:sz w:val="18"/>
                <w:szCs w:val="18"/>
              </w:rPr>
              <w:t xml:space="preserve">Proteção de dados de pagamento</w:t>
            </w:r>
          </w:p>
        </w:tc>
        <w:tc>
          <w:tcPr>
            <w:tcW w:type="pct" w:w="59%"/>
            <w:shd w:fill="FFF2CC" w:val="clear"/>
            <w:tcMar>
              <w:top w:type="dxa" w:w="80"/>
              <w:left w:type="dxa" w:w="100"/>
              <w:bottom w:type="dxa" w:w="80"/>
              <w:right w:type="dxa" w:w="100"/>
            </w:tcMar>
            <w:vAlign w:val="center"/>
          </w:tcPr>
          <w:p>
            <w:pPr>
              <w:jc w:val="left"/>
            </w:pPr>
            <w:r>
              <w:rPr>
                <w:b w:val="false"/>
                <w:bCs w:val="false"/>
                <w:color w:val="7F5A00"/>
                <w:sz w:val="18"/>
                <w:szCs w:val="18"/>
              </w:rPr>
              <w:t xml:space="preserve">Dados de pagamento nunca armazenados localmente. Processamento exclusivo via API Mercado Pago, com split automático entre loja, profissional, parceiro institucional e plataforma.</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PCI DSS</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RNF12</w:t>
            </w:r>
          </w:p>
        </w:tc>
        <w:tc>
          <w:tcPr>
            <w:tcW w:type="pct" w:w="18%"/>
            <w:shd w:fill="FFF2CC" w:val="clear"/>
            <w:tcMar>
              <w:top w:type="dxa" w:w="80"/>
              <w:left w:type="dxa" w:w="100"/>
              <w:bottom w:type="dxa" w:w="80"/>
              <w:right w:type="dxa" w:w="100"/>
            </w:tcMar>
            <w:vAlign w:val="center"/>
          </w:tcPr>
          <w:p>
            <w:pPr>
              <w:jc w:val="left"/>
            </w:pPr>
            <w:r>
              <w:rPr>
                <w:b/>
                <w:bCs/>
                <w:color w:val="7F5A00"/>
                <w:sz w:val="18"/>
                <w:szCs w:val="18"/>
              </w:rPr>
              <w:t xml:space="preserve">Auditoria</w:t>
            </w:r>
          </w:p>
        </w:tc>
        <w:tc>
          <w:tcPr>
            <w:tcW w:type="pct" w:w="59%"/>
            <w:shd w:fill="FFF2CC" w:val="clear"/>
            <w:tcMar>
              <w:top w:type="dxa" w:w="80"/>
              <w:left w:type="dxa" w:w="100"/>
              <w:bottom w:type="dxa" w:w="80"/>
              <w:right w:type="dxa" w:w="100"/>
            </w:tcMar>
            <w:vAlign w:val="center"/>
          </w:tcPr>
          <w:p>
            <w:pPr>
              <w:jc w:val="left"/>
            </w:pPr>
            <w:r>
              <w:rPr>
                <w:b w:val="false"/>
                <w:bCs w:val="false"/>
                <w:color w:val="7F5A00"/>
                <w:sz w:val="18"/>
                <w:szCs w:val="18"/>
              </w:rPr>
              <w:t xml:space="preserve">Log de todas as ações críticas (login, pagamento, aprovação de loja, aprovação de parceiro, disputa, chamado e decisão de ouvidoria) com timestamp e IP. Retenção de 1 ano.</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1 ano</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E7D5B" w:val="clear"/>
            <w:tcMar>
              <w:top w:type="dxa" w:w="100"/>
              <w:left w:type="dxa" w:w="120"/>
              <w:bottom w:type="dxa" w:w="100"/>
              <w:right w:type="dxa" w:w="120"/>
            </w:tcMar>
          </w:tcPr>
          <w:p>
            <w:r>
              <w:rPr>
                <w:b/>
                <w:bCs/>
                <w:color w:val="FFFFFF"/>
                <w:sz w:val="22"/>
                <w:szCs w:val="22"/>
              </w:rPr>
              <w:t xml:space="preserve">RNF3 — Privacidade e LGPD</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18%"/>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59%"/>
            <w:shd w:fill="1F4E79" w:val="clear"/>
            <w:tcMar>
              <w:top w:type="dxa" w:w="80"/>
              <w:left w:type="dxa" w:w="100"/>
              <w:bottom w:type="dxa" w:w="80"/>
              <w:right w:type="dxa" w:w="100"/>
            </w:tcMar>
            <w:vAlign w:val="center"/>
          </w:tcPr>
          <w:p>
            <w:r>
              <w:rPr>
                <w:b/>
                <w:bCs/>
                <w:color w:val="FFFFFF"/>
                <w:sz w:val="18"/>
                <w:szCs w:val="18"/>
              </w:rPr>
              <w:t xml:space="preserve">Requisito</w:t>
            </w:r>
          </w:p>
        </w:tc>
        <w:tc>
          <w:tcPr>
            <w:tcW w:type="pct" w:w="15%"/>
            <w:shd w:fill="1F4E79" w:val="clear"/>
            <w:tcMar>
              <w:top w:type="dxa" w:w="80"/>
              <w:left w:type="dxa" w:w="100"/>
              <w:bottom w:type="dxa" w:w="80"/>
              <w:right w:type="dxa" w:w="100"/>
            </w:tcMar>
            <w:vAlign w:val="center"/>
          </w:tcPr>
          <w:p>
            <w:r>
              <w:rPr>
                <w:b/>
                <w:bCs/>
                <w:color w:val="FFFFFF"/>
                <w:sz w:val="18"/>
                <w:szCs w:val="18"/>
              </w:rPr>
              <w:t xml:space="preserve">Métrica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RNF13</w:t>
            </w:r>
          </w:p>
        </w:tc>
        <w:tc>
          <w:tcPr>
            <w:tcW w:type="pct" w:w="18%"/>
            <w:tcMar>
              <w:top w:type="dxa" w:w="80"/>
              <w:left w:type="dxa" w:w="100"/>
              <w:bottom w:type="dxa" w:w="80"/>
              <w:right w:type="dxa" w:w="100"/>
            </w:tcMar>
            <w:vAlign w:val="center"/>
          </w:tcPr>
          <w:p>
            <w:pPr>
              <w:jc w:val="left"/>
            </w:pPr>
            <w:r>
              <w:rPr>
                <w:b/>
                <w:bCs/>
                <w:color w:val="000000"/>
                <w:sz w:val="18"/>
                <w:szCs w:val="18"/>
              </w:rPr>
              <w:t xml:space="preserve">Consentimento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Coleta de dados pessoais somente com consentimento explícito. Aceite registrado com timestamp.</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LGPD art. 8</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RNF14</w:t>
            </w:r>
          </w:p>
        </w:tc>
        <w:tc>
          <w:tcPr>
            <w:tcW w:type="pct" w:w="18%"/>
            <w:tcMar>
              <w:top w:type="dxa" w:w="80"/>
              <w:left w:type="dxa" w:w="100"/>
              <w:bottom w:type="dxa" w:w="80"/>
              <w:right w:type="dxa" w:w="100"/>
            </w:tcMar>
            <w:vAlign w:val="center"/>
          </w:tcPr>
          <w:p>
            <w:pPr>
              <w:jc w:val="left"/>
            </w:pPr>
            <w:r>
              <w:rPr>
                <w:b/>
                <w:bCs/>
                <w:color w:val="000000"/>
                <w:sz w:val="18"/>
                <w:szCs w:val="18"/>
              </w:rPr>
              <w:t xml:space="preserve">Direito ao esquecimento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Usuário pode solicitar exclusão de todos os dados pessoais. Prazo de execução: 30 dias.</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LGPD art. 18</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RNF15</w:t>
            </w:r>
          </w:p>
        </w:tc>
        <w:tc>
          <w:tcPr>
            <w:tcW w:type="pct" w:w="18%"/>
            <w:tcMar>
              <w:top w:type="dxa" w:w="80"/>
              <w:left w:type="dxa" w:w="100"/>
              <w:bottom w:type="dxa" w:w="80"/>
              <w:right w:type="dxa" w:w="100"/>
            </w:tcMar>
            <w:vAlign w:val="center"/>
          </w:tcPr>
          <w:p>
            <w:pPr>
              <w:jc w:val="left"/>
            </w:pPr>
            <w:r>
              <w:rPr>
                <w:b/>
                <w:bCs/>
                <w:color w:val="000000"/>
                <w:sz w:val="18"/>
                <w:szCs w:val="18"/>
              </w:rPr>
              <w:t xml:space="preserve">Portabilidade</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Usuário pode exportar todos os seus dados em formato JSON ou CSV a qualquer momento.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LGPD art. 18</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RNF16</w:t>
            </w:r>
          </w:p>
        </w:tc>
        <w:tc>
          <w:tcPr>
            <w:tcW w:type="pct" w:w="18%"/>
            <w:tcMar>
              <w:top w:type="dxa" w:w="80"/>
              <w:left w:type="dxa" w:w="100"/>
              <w:bottom w:type="dxa" w:w="80"/>
              <w:right w:type="dxa" w:w="100"/>
            </w:tcMar>
            <w:vAlign w:val="center"/>
          </w:tcPr>
          <w:p>
            <w:pPr>
              <w:jc w:val="left"/>
            </w:pPr>
            <w:r>
              <w:rPr>
                <w:b/>
                <w:bCs/>
                <w:color w:val="000000"/>
                <w:sz w:val="18"/>
                <w:szCs w:val="18"/>
              </w:rPr>
              <w:t xml:space="preserve">Política de privacidade</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Documento claro e acessível sobre coleta, uso e compartilhamento de dados. Atualizado a cada mudança.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Obrigatório</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RNF17</w:t>
            </w:r>
          </w:p>
        </w:tc>
        <w:tc>
          <w:tcPr>
            <w:tcW w:type="pct" w:w="18%"/>
            <w:tcMar>
              <w:top w:type="dxa" w:w="80"/>
              <w:left w:type="dxa" w:w="100"/>
              <w:bottom w:type="dxa" w:w="80"/>
              <w:right w:type="dxa" w:w="100"/>
            </w:tcMar>
            <w:vAlign w:val="center"/>
          </w:tcPr>
          <w:p>
            <w:pPr>
              <w:jc w:val="left"/>
            </w:pPr>
            <w:r>
              <w:rPr>
                <w:b/>
                <w:bCs/>
                <w:color w:val="000000"/>
                <w:sz w:val="18"/>
                <w:szCs w:val="18"/>
              </w:rPr>
              <w:t xml:space="preserve">DPO designado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Encarregado de proteção de dados (DPO) definido e contato publicado na plataforma.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LGPD art. 41</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E7D5B" w:val="clear"/>
            <w:tcMar>
              <w:top w:type="dxa" w:w="100"/>
              <w:left w:type="dxa" w:w="120"/>
              <w:bottom w:type="dxa" w:w="100"/>
              <w:right w:type="dxa" w:w="120"/>
            </w:tcMar>
          </w:tcPr>
          <w:p>
            <w:r>
              <w:rPr>
                <w:b/>
                <w:bCs/>
                <w:color w:val="FFFFFF"/>
                <w:sz w:val="22"/>
                <w:szCs w:val="22"/>
              </w:rPr>
              <w:t xml:space="preserve">RNF4 — Usabilidade e Acessibilidade</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18%"/>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59%"/>
            <w:shd w:fill="1F4E79" w:val="clear"/>
            <w:tcMar>
              <w:top w:type="dxa" w:w="80"/>
              <w:left w:type="dxa" w:w="100"/>
              <w:bottom w:type="dxa" w:w="80"/>
              <w:right w:type="dxa" w:w="100"/>
            </w:tcMar>
            <w:vAlign w:val="center"/>
          </w:tcPr>
          <w:p>
            <w:r>
              <w:rPr>
                <w:b/>
                <w:bCs/>
                <w:color w:val="FFFFFF"/>
                <w:sz w:val="18"/>
                <w:szCs w:val="18"/>
              </w:rPr>
              <w:t xml:space="preserve">Requisito</w:t>
            </w:r>
          </w:p>
        </w:tc>
        <w:tc>
          <w:tcPr>
            <w:tcW w:type="pct" w:w="15%"/>
            <w:shd w:fill="1F4E79" w:val="clear"/>
            <w:tcMar>
              <w:top w:type="dxa" w:w="80"/>
              <w:left w:type="dxa" w:w="100"/>
              <w:bottom w:type="dxa" w:w="80"/>
              <w:right w:type="dxa" w:w="100"/>
            </w:tcMar>
            <w:vAlign w:val="center"/>
          </w:tcPr>
          <w:p>
            <w:r>
              <w:rPr>
                <w:b/>
                <w:bCs/>
                <w:color w:val="FFFFFF"/>
                <w:sz w:val="18"/>
                <w:szCs w:val="18"/>
              </w:rPr>
              <w:t xml:space="preserve">Métrica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RNF18</w:t>
            </w:r>
          </w:p>
        </w:tc>
        <w:tc>
          <w:tcPr>
            <w:tcW w:type="pct" w:w="18%"/>
            <w:tcMar>
              <w:top w:type="dxa" w:w="80"/>
              <w:left w:type="dxa" w:w="100"/>
              <w:bottom w:type="dxa" w:w="80"/>
              <w:right w:type="dxa" w:w="100"/>
            </w:tcMar>
            <w:vAlign w:val="center"/>
          </w:tcPr>
          <w:p>
            <w:pPr>
              <w:jc w:val="left"/>
            </w:pPr>
            <w:r>
              <w:rPr>
                <w:b/>
                <w:bCs/>
                <w:color w:val="000000"/>
                <w:sz w:val="18"/>
                <w:szCs w:val="18"/>
              </w:rPr>
              <w:t xml:space="preserve">Design responsivo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Interface adaptável a smartphones, tablets e desktops. Mobile-first por ser o acesso principal.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iOS / Android</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RNF19</w:t>
            </w:r>
          </w:p>
        </w:tc>
        <w:tc>
          <w:tcPr>
            <w:tcW w:type="pct" w:w="18%"/>
            <w:tcMar>
              <w:top w:type="dxa" w:w="80"/>
              <w:left w:type="dxa" w:w="100"/>
              <w:bottom w:type="dxa" w:w="80"/>
              <w:right w:type="dxa" w:w="100"/>
            </w:tcMar>
            <w:vAlign w:val="center"/>
          </w:tcPr>
          <w:p>
            <w:pPr>
              <w:jc w:val="left"/>
            </w:pPr>
            <w:r>
              <w:rPr>
                <w:b/>
                <w:bCs/>
                <w:color w:val="000000"/>
                <w:sz w:val="18"/>
                <w:szCs w:val="18"/>
              </w:rPr>
              <w:t xml:space="preserve">Acessibilidade</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Conformidade com WCAG 2.1 nível AA. Suporte a leitores de tela e navegação por teclado.</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WCAG 2.1 AA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RNF20</w:t>
            </w:r>
          </w:p>
        </w:tc>
        <w:tc>
          <w:tcPr>
            <w:tcW w:type="pct" w:w="18%"/>
            <w:tcMar>
              <w:top w:type="dxa" w:w="80"/>
              <w:left w:type="dxa" w:w="100"/>
              <w:bottom w:type="dxa" w:w="80"/>
              <w:right w:type="dxa" w:w="100"/>
            </w:tcMar>
            <w:vAlign w:val="center"/>
          </w:tcPr>
          <w:p>
            <w:pPr>
              <w:jc w:val="left"/>
            </w:pPr>
            <w:r>
              <w:rPr>
                <w:b/>
                <w:bCs/>
                <w:color w:val="000000"/>
                <w:sz w:val="18"/>
                <w:szCs w:val="18"/>
              </w:rPr>
              <w:t xml:space="preserve">Onboarding</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Novo lojista consegue configurar sua vitrine e anunciar a primeira peça em menos de 5 minutos, sem ajuda externa.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&lt; 5 min</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RNF21</w:t>
            </w:r>
          </w:p>
        </w:tc>
        <w:tc>
          <w:tcPr>
            <w:tcW w:type="pct" w:w="18%"/>
            <w:tcMar>
              <w:top w:type="dxa" w:w="80"/>
              <w:left w:type="dxa" w:w="100"/>
              <w:bottom w:type="dxa" w:w="80"/>
              <w:right w:type="dxa" w:w="100"/>
            </w:tcMar>
            <w:vAlign w:val="center"/>
          </w:tcPr>
          <w:p>
            <w:pPr>
              <w:jc w:val="left"/>
            </w:pPr>
            <w:r>
              <w:rPr>
                <w:b/>
                <w:bCs/>
                <w:color w:val="000000"/>
                <w:sz w:val="18"/>
                <w:szCs w:val="18"/>
              </w:rPr>
              <w:t xml:space="preserve">Idioma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Interface exclusivamente em português brasileiro. Datas e moedas no formato BR.</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pt-BR</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RNF22</w:t>
            </w:r>
          </w:p>
        </w:tc>
        <w:tc>
          <w:tcPr>
            <w:tcW w:type="pct" w:w="18%"/>
            <w:tcMar>
              <w:top w:type="dxa" w:w="80"/>
              <w:left w:type="dxa" w:w="100"/>
              <w:bottom w:type="dxa" w:w="80"/>
              <w:right w:type="dxa" w:w="100"/>
            </w:tcMar>
            <w:vAlign w:val="center"/>
          </w:tcPr>
          <w:p>
            <w:pPr>
              <w:jc w:val="left"/>
            </w:pPr>
            <w:r>
              <w:rPr>
                <w:b/>
                <w:bCs/>
                <w:color w:val="000000"/>
                <w:sz w:val="18"/>
                <w:szCs w:val="18"/>
              </w:rPr>
              <w:t xml:space="preserve">Modo offline parcial</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App mobile exibe catálogo navegado recentemente mesmo sem conexão. Ações sincronizadas ao reconectar.</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PWA cache</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3A3A" w:val="clear"/>
            <w:tcMar>
              <w:top w:type="dxa" w:w="100"/>
              <w:left w:type="dxa" w:w="120"/>
              <w:bottom w:type="dxa" w:w="100"/>
              <w:right w:type="dxa" w:w="120"/>
            </w:tcMar>
          </w:tcPr>
          <w:p>
            <w:r>
              <w:rPr>
                <w:b/>
                <w:bCs/>
                <w:color w:val="FFFFFF"/>
                <w:sz w:val="22"/>
                <w:szCs w:val="22"/>
              </w:rPr>
              <w:t xml:space="preserve">RNF5 — Requisitos Técnicos e Integração</w:t>
            </w:r>
          </w:p>
        </w:tc>
      </w:tr>
    </w:tbl>
    <w:p>
      <w:pPr>
        <w:spacing w:after="80" w:before="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8%"/>
            <w:shd w:fill="1F4E79" w:val="clear"/>
            <w:tcMar>
              <w:top w:type="dxa" w:w="80"/>
              <w:left w:type="dxa" w:w="100"/>
              <w:bottom w:type="dxa" w:w="80"/>
              <w:right w:type="dxa" w:w="100"/>
            </w:tcMar>
            <w:vAlign w:val="center"/>
          </w:tcPr>
          <w:p>
            <w:r>
              <w:rPr>
                <w:b/>
                <w:bCs/>
                <w:color w:val="FFFFFF"/>
                <w:sz w:val="18"/>
                <w:szCs w:val="18"/>
              </w:rPr>
              <w:t xml:space="preserve">ID</w:t>
            </w:r>
          </w:p>
        </w:tc>
        <w:tc>
          <w:tcPr>
            <w:tcW w:type="pct" w:w="18%"/>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59%"/>
            <w:shd w:fill="1F4E79" w:val="clear"/>
            <w:tcMar>
              <w:top w:type="dxa" w:w="80"/>
              <w:left w:type="dxa" w:w="100"/>
              <w:bottom w:type="dxa" w:w="80"/>
              <w:right w:type="dxa" w:w="100"/>
            </w:tcMar>
            <w:vAlign w:val="center"/>
          </w:tcPr>
          <w:p>
            <w:r>
              <w:rPr>
                <w:b/>
                <w:bCs/>
                <w:color w:val="FFFFFF"/>
                <w:sz w:val="18"/>
                <w:szCs w:val="18"/>
              </w:rPr>
              <w:t xml:space="preserve">Requisito</w:t>
            </w:r>
          </w:p>
        </w:tc>
        <w:tc>
          <w:tcPr>
            <w:tcW w:type="pct" w:w="15%"/>
            <w:shd w:fill="1F4E79" w:val="clear"/>
            <w:tcMar>
              <w:top w:type="dxa" w:w="80"/>
              <w:left w:type="dxa" w:w="100"/>
              <w:bottom w:type="dxa" w:w="80"/>
              <w:right w:type="dxa" w:w="100"/>
            </w:tcMar>
            <w:vAlign w:val="center"/>
          </w:tcPr>
          <w:p>
            <w:r>
              <w:rPr>
                <w:b/>
                <w:bCs/>
                <w:color w:val="FFFFFF"/>
                <w:sz w:val="18"/>
                <w:szCs w:val="18"/>
              </w:rPr>
              <w:t xml:space="preserve">Métrica</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RNF23</w:t>
            </w:r>
          </w:p>
        </w:tc>
        <w:tc>
          <w:tcPr>
            <w:tcW w:type="pct" w:w="18%"/>
            <w:shd w:fill="FFF2CC" w:val="clear"/>
            <w:tcMar>
              <w:top w:type="dxa" w:w="80"/>
              <w:left w:type="dxa" w:w="100"/>
              <w:bottom w:type="dxa" w:w="80"/>
              <w:right w:type="dxa" w:w="100"/>
            </w:tcMar>
            <w:vAlign w:val="center"/>
          </w:tcPr>
          <w:p>
            <w:pPr>
              <w:jc w:val="left"/>
            </w:pPr>
            <w:r>
              <w:rPr>
                <w:b/>
                <w:bCs/>
                <w:color w:val="7F5A00"/>
                <w:sz w:val="18"/>
                <w:szCs w:val="18"/>
              </w:rPr>
              <w:t xml:space="preserve">Pagamentos</w:t>
            </w:r>
          </w:p>
        </w:tc>
        <w:tc>
          <w:tcPr>
            <w:tcW w:type="pct" w:w="59%"/>
            <w:shd w:fill="FFF2CC" w:val="clear"/>
            <w:tcMar>
              <w:top w:type="dxa" w:w="80"/>
              <w:left w:type="dxa" w:w="100"/>
              <w:bottom w:type="dxa" w:w="80"/>
              <w:right w:type="dxa" w:w="100"/>
            </w:tcMar>
            <w:vAlign w:val="center"/>
          </w:tcPr>
          <w:p>
            <w:pPr>
              <w:jc w:val="left"/>
            </w:pPr>
            <w:r>
              <w:rPr>
                <w:b w:val="false"/>
                <w:bCs w:val="false"/>
                <w:color w:val="7F5A00"/>
                <w:sz w:val="18"/>
                <w:szCs w:val="18"/>
              </w:rPr>
              <w:t xml:space="preserve">Integração com Mercado Pago Marketplace API para split automático entre loja, profissional, parceiro institucional e plataforma, suportando as taxas vigentes (10% venda, 10% serviço, 15% gestão de loja, 1% dos 10% repassado a parceiro institucional quando aplicável).</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MP API v3</w:t>
            </w:r>
          </w:p>
        </w:tc>
      </w:tr>
      <w:tr>
        <w:tc>
          <w:tcPr>
            <w:tcW w:type="pct" w:w="8%"/>
            <w:shd w:fill="FFF2CC" w:val="clear"/>
            <w:tcMar>
              <w:top w:type="dxa" w:w="80"/>
              <w:left w:type="dxa" w:w="100"/>
              <w:bottom w:type="dxa" w:w="80"/>
              <w:right w:type="dxa" w:w="100"/>
            </w:tcMar>
            <w:vAlign w:val="center"/>
          </w:tcPr>
          <w:p>
            <w:pPr>
              <w:jc w:val="left"/>
            </w:pPr>
            <w:r>
              <w:rPr>
                <w:b/>
                <w:bCs/>
                <w:color w:val="7F5A00"/>
                <w:sz w:val="18"/>
                <w:szCs w:val="18"/>
              </w:rPr>
              <w:t xml:space="preserve">RNF24</w:t>
            </w:r>
          </w:p>
        </w:tc>
        <w:tc>
          <w:tcPr>
            <w:tcW w:type="pct" w:w="18%"/>
            <w:shd w:fill="FFF2CC" w:val="clear"/>
            <w:tcMar>
              <w:top w:type="dxa" w:w="80"/>
              <w:left w:type="dxa" w:w="100"/>
              <w:bottom w:type="dxa" w:w="80"/>
              <w:right w:type="dxa" w:w="100"/>
            </w:tcMar>
            <w:vAlign w:val="center"/>
          </w:tcPr>
          <w:p>
            <w:pPr>
              <w:jc w:val="left"/>
            </w:pPr>
            <w:r>
              <w:rPr>
                <w:b/>
                <w:bCs/>
                <w:color w:val="7F5A00"/>
                <w:sz w:val="18"/>
                <w:szCs w:val="18"/>
              </w:rPr>
              <w:t xml:space="preserve">Rastreamento postal</w:t>
            </w:r>
          </w:p>
        </w:tc>
        <w:tc>
          <w:tcPr>
            <w:tcW w:type="pct" w:w="59%"/>
            <w:shd w:fill="FFF2CC" w:val="clear"/>
            <w:tcMar>
              <w:top w:type="dxa" w:w="80"/>
              <w:left w:type="dxa" w:w="100"/>
              <w:bottom w:type="dxa" w:w="80"/>
              <w:right w:type="dxa" w:w="100"/>
            </w:tcMar>
            <w:vAlign w:val="center"/>
          </w:tcPr>
          <w:p>
            <w:pPr>
              <w:jc w:val="left"/>
            </w:pPr>
            <w:r>
              <w:rPr>
                <w:b w:val="false"/>
                <w:bCs w:val="false"/>
                <w:color w:val="7F5A00"/>
                <w:sz w:val="18"/>
                <w:szCs w:val="18"/>
              </w:rPr>
              <w:t xml:space="preserve">Integração com API dos Correios e/ou parceiro logístico próprio da plataforma para monitoramento automático de códigos de rastreio.</w:t>
            </w:r>
          </w:p>
        </w:tc>
        <w:tc>
          <w:tcPr>
            <w:tcW w:type="pct" w:w="15%"/>
            <w:shd w:fill="FFF2CC" w:val="clear"/>
            <w:tcMar>
              <w:top w:type="dxa" w:w="80"/>
              <w:left w:type="dxa" w:w="100"/>
              <w:bottom w:type="dxa" w:w="80"/>
              <w:right w:type="dxa" w:w="100"/>
            </w:tcMar>
            <w:vAlign w:val="center"/>
          </w:tcPr>
          <w:p>
            <w:pPr>
              <w:jc w:val="center"/>
            </w:pPr>
            <w:r>
              <w:rPr>
                <w:b w:val="false"/>
                <w:bCs w:val="false"/>
                <w:color w:val="7F5A00"/>
                <w:sz w:val="18"/>
                <w:szCs w:val="18"/>
              </w:rPr>
              <w:t xml:space="preserve">Correios API</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RNF25</w:t>
            </w:r>
          </w:p>
        </w:tc>
        <w:tc>
          <w:tcPr>
            <w:tcW w:type="pct" w:w="18%"/>
            <w:tcMar>
              <w:top w:type="dxa" w:w="80"/>
              <w:left w:type="dxa" w:w="100"/>
              <w:bottom w:type="dxa" w:w="80"/>
              <w:right w:type="dxa" w:w="100"/>
            </w:tcMar>
            <w:vAlign w:val="center"/>
          </w:tcPr>
          <w:p>
            <w:pPr>
              <w:jc w:val="left"/>
            </w:pPr>
            <w:r>
              <w:rPr>
                <w:b/>
                <w:bCs/>
                <w:color w:val="000000"/>
                <w:sz w:val="18"/>
                <w:szCs w:val="18"/>
              </w:rPr>
              <w:t xml:space="preserve">Mapas</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Integração com Google Maps API para localização de lojas, cálculo de distância e frete em todo o território nacional.</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Maps API</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RNF26</w:t>
            </w:r>
          </w:p>
        </w:tc>
        <w:tc>
          <w:tcPr>
            <w:tcW w:type="pct" w:w="18%"/>
            <w:tcMar>
              <w:top w:type="dxa" w:w="80"/>
              <w:left w:type="dxa" w:w="100"/>
              <w:bottom w:type="dxa" w:w="80"/>
              <w:right w:type="dxa" w:w="100"/>
            </w:tcMar>
            <w:vAlign w:val="center"/>
          </w:tcPr>
          <w:p>
            <w:pPr>
              <w:jc w:val="left"/>
            </w:pPr>
            <w:r>
              <w:rPr>
                <w:b/>
                <w:bCs/>
                <w:color w:val="000000"/>
                <w:sz w:val="18"/>
                <w:szCs w:val="18"/>
              </w:rPr>
              <w:t xml:space="preserve">E-mail transacional</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Envio via provedor dedicado (SendGrid ou Amazon SES) com taxa de entrega superior a 98%.</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&gt; 98% entrega</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RNF27</w:t>
            </w:r>
          </w:p>
        </w:tc>
        <w:tc>
          <w:tcPr>
            <w:tcW w:type="pct" w:w="18%"/>
            <w:tcMar>
              <w:top w:type="dxa" w:w="80"/>
              <w:left w:type="dxa" w:w="100"/>
              <w:bottom w:type="dxa" w:w="80"/>
              <w:right w:type="dxa" w:w="100"/>
            </w:tcMar>
            <w:vAlign w:val="center"/>
          </w:tcPr>
          <w:p>
            <w:pPr>
              <w:jc w:val="left"/>
            </w:pPr>
            <w:r>
              <w:rPr>
                <w:b/>
                <w:bCs/>
                <w:color w:val="000000"/>
                <w:sz w:val="18"/>
                <w:szCs w:val="18"/>
              </w:rPr>
              <w:t xml:space="preserve">Notificações push</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Push notifications via Firebase Cloud Messaging (FCM) para iOS e Android.</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FCM</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RNF28</w:t>
            </w:r>
          </w:p>
        </w:tc>
        <w:tc>
          <w:tcPr>
            <w:tcW w:type="pct" w:w="18%"/>
            <w:tcMar>
              <w:top w:type="dxa" w:w="80"/>
              <w:left w:type="dxa" w:w="100"/>
              <w:bottom w:type="dxa" w:w="80"/>
              <w:right w:type="dxa" w:w="100"/>
            </w:tcMar>
            <w:vAlign w:val="center"/>
          </w:tcPr>
          <w:p>
            <w:pPr>
              <w:jc w:val="left"/>
            </w:pPr>
            <w:r>
              <w:rPr>
                <w:b/>
                <w:bCs/>
                <w:color w:val="000000"/>
                <w:sz w:val="18"/>
                <w:szCs w:val="18"/>
              </w:rPr>
              <w:t xml:space="preserve">Backup de dados</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Backup automático diário do banco de dados com retenção de 30 dias. Restore testado mensalmente.</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Diário / 30d</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RNF29</w:t>
            </w:r>
          </w:p>
        </w:tc>
        <w:tc>
          <w:tcPr>
            <w:tcW w:type="pct" w:w="18%"/>
            <w:tcMar>
              <w:top w:type="dxa" w:w="80"/>
              <w:left w:type="dxa" w:w="100"/>
              <w:bottom w:type="dxa" w:w="80"/>
              <w:right w:type="dxa" w:w="100"/>
            </w:tcMar>
            <w:vAlign w:val="center"/>
          </w:tcPr>
          <w:p>
            <w:pPr>
              <w:jc w:val="left"/>
            </w:pPr>
            <w:r>
              <w:rPr>
                <w:b/>
                <w:bCs/>
                <w:color w:val="000000"/>
                <w:sz w:val="18"/>
                <w:szCs w:val="18"/>
              </w:rPr>
              <w:t xml:space="preserve">CI/CD</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Pipeline de integração e entrega contínua. Deploy sem downtime (zero-downtime deployment).</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Zero-downtime</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RNF30</w:t>
            </w:r>
          </w:p>
        </w:tc>
        <w:tc>
          <w:tcPr>
            <w:tcW w:type="pct" w:w="18%"/>
            <w:tcMar>
              <w:top w:type="dxa" w:w="80"/>
              <w:left w:type="dxa" w:w="100"/>
              <w:bottom w:type="dxa" w:w="80"/>
              <w:right w:type="dxa" w:w="100"/>
            </w:tcMar>
            <w:vAlign w:val="center"/>
          </w:tcPr>
          <w:p>
            <w:pPr>
              <w:jc w:val="left"/>
            </w:pPr>
            <w:r>
              <w:rPr>
                <w:b/>
                <w:bCs/>
                <w:color w:val="000000"/>
                <w:sz w:val="18"/>
                <w:szCs w:val="18"/>
              </w:rPr>
              <w:t xml:space="preserve">Monitoramento</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Monitoramento de erros em produção (ex: Sentry) e métricas de performance (ex: Datadog).</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Tempo real</w:t>
            </w:r>
          </w:p>
        </w:tc>
      </w:tr>
      <w:tr>
        <w:tc>
          <w:tcPr>
            <w:tcW w:type="pct" w:w="8%"/>
            <w:tcMar>
              <w:top w:type="dxa" w:w="80"/>
              <w:left w:type="dxa" w:w="100"/>
              <w:bottom w:type="dxa" w:w="80"/>
              <w:right w:type="dxa" w:w="100"/>
            </w:tcMar>
            <w:vAlign w:val="center"/>
          </w:tcPr>
          <w:p>
            <w:pPr>
              <w:jc w:val="left"/>
            </w:pPr>
            <w:r>
              <w:rPr>
                <w:b/>
                <w:bCs/>
                <w:color w:val="000000"/>
                <w:sz w:val="18"/>
                <w:szCs w:val="18"/>
              </w:rPr>
              <w:t xml:space="preserve">RNF31</w:t>
            </w:r>
          </w:p>
        </w:tc>
        <w:tc>
          <w:tcPr>
            <w:tcW w:type="pct" w:w="18%"/>
            <w:tcMar>
              <w:top w:type="dxa" w:w="80"/>
              <w:left w:type="dxa" w:w="100"/>
              <w:bottom w:type="dxa" w:w="80"/>
              <w:right w:type="dxa" w:w="100"/>
            </w:tcMar>
            <w:vAlign w:val="center"/>
          </w:tcPr>
          <w:p>
            <w:pPr>
              <w:jc w:val="left"/>
            </w:pPr>
            <w:r>
              <w:rPr>
                <w:b/>
                <w:bCs/>
                <w:color w:val="000000"/>
                <w:sz w:val="18"/>
                <w:szCs w:val="18"/>
              </w:rPr>
              <w:t xml:space="preserve">Arquitetura multi-loja</w:t>
            </w:r>
          </w:p>
        </w:tc>
        <w:tc>
          <w:tcPr>
            <w:tcW w:type="pct" w:w="59%"/>
            <w:tcMar>
              <w:top w:type="dxa" w:w="80"/>
              <w:left w:type="dxa" w:w="100"/>
              <w:bottom w:type="dxa" w:w="80"/>
              <w:right w:type="dxa" w:w="100"/>
            </w:tcMar>
            <w:vAlign w:val="center"/>
          </w:tcPr>
          <w:p>
            <w:pPr>
              <w:jc w:val="left"/>
            </w:pPr>
            <w:r>
              <w:rPr>
                <w:b w:val="false"/>
                <w:bCs w:val="false"/>
                <w:color w:val="000000"/>
                <w:sz w:val="18"/>
                <w:szCs w:val="18"/>
              </w:rPr>
              <w:t xml:space="preserve">Suporte a arquitetura multi-tenant, permitindo milhares de lojas independentes com dados, vitrines e configurações isoladas na mesma plataforma.</w:t>
            </w:r>
          </w:p>
        </w:tc>
        <w:tc>
          <w:tcPr>
            <w:tcW w:type="pct" w:w="15%"/>
            <w:tcMar>
              <w:top w:type="dxa" w:w="80"/>
              <w:left w:type="dxa" w:w="100"/>
              <w:bottom w:type="dxa" w:w="80"/>
              <w:right w:type="dxa" w:w="100"/>
            </w:tcMar>
            <w:vAlign w:val="center"/>
          </w:tcPr>
          <w:p>
            <w:pPr>
              <w:jc w:val="center"/>
            </w:pPr>
            <w:r>
              <w:rPr>
                <w:b w:val="false"/>
                <w:bCs w:val="false"/>
                <w:color w:val="000000"/>
                <w:sz w:val="18"/>
                <w:szCs w:val="18"/>
              </w:rPr>
              <w:t xml:space="preserve">Multi-tenant</w:t>
            </w:r>
          </w:p>
        </w:tc>
      </w:tr>
    </w:tbl>
    <w:p>
      <w:pPr>
        <w:spacing w:after="200" w:before="200"/>
      </w:pPr>
    </w:p>
    <w:p>
      <w:r>
        <w:br w:type="page"/>
      </w:r>
    </w:p>
    <w:p>
      <w:pPr>
        <w:pStyle w:val="Heading1"/>
        <w:spacing w:after="150" w:before="300"/>
      </w:pPr>
      <w:r>
        <w:rPr>
          <w:b/>
          <w:bCs/>
          <w:color w:val="1F4E79"/>
          <w:sz w:val="30"/>
          <w:szCs w:val="30"/>
        </w:rPr>
        <w:t xml:space="preserve">4. Resumo e Prioridades</w:t>
      </w:r>
    </w:p>
    <w:p>
      <w:pPr>
        <w:spacing w:after="120"/>
      </w:pPr>
      <w:r>
        <w:rPr>
          <w:b w:val="false"/>
          <w:bCs w:val="false"/>
          <w:sz w:val="20"/>
          <w:szCs w:val="20"/>
        </w:rPr>
        <w:t xml:space="preserve">Totalizando os requisitos levantados: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5%"/>
            <w:shd w:fill="1F4E79" w:val="clear"/>
            <w:tcMar>
              <w:top w:type="dxa" w:w="80"/>
              <w:left w:type="dxa" w:w="100"/>
              <w:bottom w:type="dxa" w:w="80"/>
              <w:right w:type="dxa" w:w="100"/>
            </w:tcMar>
            <w:vAlign w:val="center"/>
          </w:tcPr>
          <w:p>
            <w:r>
              <w:rPr>
                <w:b/>
                <w:bCs/>
                <w:color w:val="FFFFFF"/>
                <w:sz w:val="18"/>
                <w:szCs w:val="18"/>
              </w:rPr>
              <w:t xml:space="preserve">Categoria</w:t>
            </w:r>
          </w:p>
        </w:tc>
        <w:tc>
          <w:tcPr>
            <w:tcW w:type="pct" w:w="25%"/>
            <w:shd w:fill="1F4E79" w:val="clear"/>
            <w:tcMar>
              <w:top w:type="dxa" w:w="80"/>
              <w:left w:type="dxa" w:w="100"/>
              <w:bottom w:type="dxa" w:w="80"/>
              <w:right w:type="dxa" w:w="100"/>
            </w:tcMar>
            <w:vAlign w:val="center"/>
          </w:tcPr>
          <w:p>
            <w:r>
              <w:rPr>
                <w:b/>
                <w:bCs/>
                <w:color w:val="FFFFFF"/>
                <w:sz w:val="18"/>
                <w:szCs w:val="18"/>
              </w:rPr>
              <w:t xml:space="preserve">Quantidade</w:t>
            </w:r>
          </w:p>
        </w:tc>
        <w:tc>
          <w:tcPr>
            <w:tcW w:type="pct" w:w="30%"/>
            <w:shd w:fill="1F4E79" w:val="clear"/>
            <w:tcMar>
              <w:top w:type="dxa" w:w="80"/>
              <w:left w:type="dxa" w:w="100"/>
              <w:bottom w:type="dxa" w:w="80"/>
              <w:right w:type="dxa" w:w="100"/>
            </w:tcMar>
            <w:vAlign w:val="center"/>
          </w:tcPr>
          <w:p>
            <w:r>
              <w:rPr>
                <w:b/>
                <w:bCs/>
                <w:color w:val="FFFFFF"/>
                <w:sz w:val="18"/>
                <w:szCs w:val="18"/>
              </w:rPr>
              <w:t xml:space="preserve">Prioridade Alta</w:t>
            </w:r>
          </w:p>
        </w:tc>
      </w:tr>
      <w:tr>
        <w:tc>
          <w:tcPr>
            <w:tcW w:type="pct" w:w="45%"/>
            <w:tcMar>
              <w:top w:type="dxa" w:w="80"/>
              <w:left w:type="dxa" w:w="100"/>
              <w:bottom w:type="dxa" w:w="80"/>
              <w:right w:type="dxa" w:w="100"/>
            </w:tcMar>
            <w:vAlign w:val="center"/>
          </w:tcPr>
          <w:p>
            <w:pPr>
              <w:jc w:val="left"/>
            </w:pPr>
            <w:r>
              <w:rPr>
                <w:b w:val="false"/>
                <w:bCs w:val="false"/>
                <w:color w:val="000000"/>
                <w:sz w:val="18"/>
                <w:szCs w:val="18"/>
              </w:rPr>
              <w:t xml:space="preserve">Requisitos Funcionais</w:t>
            </w:r>
          </w:p>
        </w:tc>
        <w:tc>
          <w:tcPr>
            <w:tcW w:type="pct" w:w="25%"/>
            <w:tcMar>
              <w:top w:type="dxa" w:w="80"/>
              <w:left w:type="dxa" w:w="100"/>
              <w:bottom w:type="dxa" w:w="80"/>
              <w:right w:type="dxa" w:w="100"/>
            </w:tcMar>
            <w:vAlign w:val="center"/>
          </w:tcPr>
          <w:p>
            <w:pPr>
              <w:jc w:val="center"/>
            </w:pPr>
            <w:r>
              <w:rPr>
                <w:b w:val="false"/>
                <w:bCs w:val="false"/>
                <w:color w:val="000000"/>
                <w:sz w:val="18"/>
                <w:szCs w:val="18"/>
              </w:rPr>
              <w:t xml:space="preserve">69 requisitos</w:t>
            </w:r>
          </w:p>
        </w:tc>
        <w:tc>
          <w:tcPr>
            <w:tcW w:type="pct" w:w="30%"/>
            <w:tcMar>
              <w:top w:type="dxa" w:w="80"/>
              <w:left w:type="dxa" w:w="100"/>
              <w:bottom w:type="dxa" w:w="80"/>
              <w:right w:type="dxa" w:w="100"/>
            </w:tcMar>
            <w:vAlign w:val="center"/>
          </w:tcPr>
          <w:p>
            <w:pPr>
              <w:jc w:val="center"/>
            </w:pPr>
            <w:r>
              <w:rPr>
                <w:b w:val="false"/>
                <w:bCs w:val="false"/>
                <w:color w:val="000000"/>
                <w:sz w:val="18"/>
                <w:szCs w:val="18"/>
              </w:rPr>
              <w:t xml:space="preserve">50 (RF01–RF69)</w:t>
            </w:r>
          </w:p>
        </w:tc>
      </w:tr>
      <w:tr>
        <w:tc>
          <w:tcPr>
            <w:tcW w:type="pct" w:w="45%"/>
            <w:tcMar>
              <w:top w:type="dxa" w:w="80"/>
              <w:left w:type="dxa" w:w="100"/>
              <w:bottom w:type="dxa" w:w="80"/>
              <w:right w:type="dxa" w:w="100"/>
            </w:tcMar>
            <w:vAlign w:val="center"/>
          </w:tcPr>
          <w:p>
            <w:pPr>
              <w:jc w:val="left"/>
            </w:pPr>
            <w:r>
              <w:rPr>
                <w:b w:val="false"/>
                <w:bCs w:val="false"/>
                <w:color w:val="000000"/>
                <w:sz w:val="18"/>
                <w:szCs w:val="18"/>
              </w:rPr>
              <w:t xml:space="preserve">Requisitos Não Funcionais</w:t>
            </w:r>
          </w:p>
        </w:tc>
        <w:tc>
          <w:tcPr>
            <w:tcW w:type="pct" w:w="25%"/>
            <w:tcMar>
              <w:top w:type="dxa" w:w="80"/>
              <w:left w:type="dxa" w:w="100"/>
              <w:bottom w:type="dxa" w:w="80"/>
              <w:right w:type="dxa" w:w="100"/>
            </w:tcMar>
            <w:vAlign w:val="center"/>
          </w:tcPr>
          <w:p>
            <w:pPr>
              <w:jc w:val="center"/>
            </w:pPr>
            <w:r>
              <w:rPr>
                <w:b w:val="false"/>
                <w:bCs w:val="false"/>
                <w:color w:val="000000"/>
                <w:sz w:val="18"/>
                <w:szCs w:val="18"/>
              </w:rPr>
              <w:t xml:space="preserve">31 requisitos</w:t>
            </w:r>
          </w:p>
        </w:tc>
        <w:tc>
          <w:tcPr>
            <w:tcW w:type="pct" w:w="30%"/>
            <w:tcMar>
              <w:top w:type="dxa" w:w="80"/>
              <w:left w:type="dxa" w:w="100"/>
              <w:bottom w:type="dxa" w:w="80"/>
              <w:right w:type="dxa" w:w="100"/>
            </w:tcMar>
            <w:vAlign w:val="center"/>
          </w:tcPr>
          <w:p>
            <w:pPr>
              <w:jc w:val="center"/>
            </w:pPr>
            <w:r>
              <w:rPr>
                <w:b w:val="false"/>
                <w:bCs w:val="false"/>
                <w:color w:val="000000"/>
                <w:sz w:val="18"/>
                <w:szCs w:val="18"/>
              </w:rPr>
              <w:t xml:space="preserve">RNF01–RNF31</w:t>
            </w:r>
          </w:p>
        </w:tc>
      </w:tr>
      <w:tr>
        <w:tc>
          <w:tcPr>
            <w:tcW w:type="pct" w:w="45%"/>
            <w:tcMar>
              <w:top w:type="dxa" w:w="80"/>
              <w:left w:type="dxa" w:w="100"/>
              <w:bottom w:type="dxa" w:w="80"/>
              <w:right w:type="dxa" w:w="100"/>
            </w:tcMar>
            <w:vAlign w:val="center"/>
          </w:tcPr>
          <w:p>
            <w:pPr>
              <w:jc w:val="left"/>
            </w:pPr>
            <w:r>
              <w:rPr>
                <w:b/>
                <w:bCs/>
                <w:color w:val="000000"/>
                <w:sz w:val="18"/>
                <w:szCs w:val="18"/>
              </w:rPr>
              <w:t xml:space="preserve">Total geral</w:t>
            </w:r>
          </w:p>
        </w:tc>
        <w:tc>
          <w:tcPr>
            <w:tcW w:type="pct" w:w="25%"/>
            <w:tcMar>
              <w:top w:type="dxa" w:w="80"/>
              <w:left w:type="dxa" w:w="100"/>
              <w:bottom w:type="dxa" w:w="80"/>
              <w:right w:type="dxa" w:w="100"/>
            </w:tcMar>
            <w:vAlign w:val="center"/>
          </w:tcPr>
          <w:p>
            <w:pPr>
              <w:jc w:val="center"/>
            </w:pPr>
            <w:r>
              <w:rPr>
                <w:b/>
                <w:bCs/>
                <w:color w:val="000000"/>
                <w:sz w:val="18"/>
                <w:szCs w:val="18"/>
              </w:rPr>
              <w:t xml:space="preserve">100 requisitos</w:t>
            </w:r>
          </w:p>
        </w:tc>
        <w:tc>
          <w:tcPr>
            <w:tcW w:type="pct" w:w="30%"/>
            <w:tcMar>
              <w:top w:type="dxa" w:w="80"/>
              <w:left w:type="dxa" w:w="100"/>
              <w:bottom w:type="dxa" w:w="80"/>
              <w:right w:type="dxa" w:w="100"/>
            </w:tcMar>
            <w:vAlign w:val="center"/>
          </w:tcPr>
          <w:p>
            <w:pPr>
              <w:jc w:val="center"/>
            </w:pPr>
            <w:r>
              <w:rPr>
                <w:b/>
                <w:bCs/>
                <w:color w:val="000000"/>
                <w:sz w:val="18"/>
                <w:szCs w:val="18"/>
              </w:rPr>
              <w:t xml:space="preserve">50 de alta prioridade</w:t>
            </w:r>
          </w:p>
        </w:tc>
      </w:tr>
    </w:tbl>
    <w:p>
      <w:pPr>
        <w:spacing w:after="200" w:before="200"/>
      </w:pPr>
    </w:p>
    <w:p>
      <w:pPr>
        <w:pStyle w:val="Heading2"/>
        <w:spacing w:after="120" w:before="260"/>
      </w:pPr>
      <w:r>
        <w:rPr>
          <w:b/>
          <w:bCs/>
          <w:color w:val="1F4E79"/>
          <w:sz w:val="24"/>
          <w:szCs w:val="24"/>
        </w:rPr>
        <w:t xml:space="preserve">4.1 Ordem de implementação recomendada</w:t>
      </w:r>
    </w:p>
    <w:p>
      <w:pPr>
        <w:spacing w:after="120"/>
      </w:pPr>
      <w:r>
        <w:rPr>
          <w:b/>
          <w:bCs/>
          <w:sz w:val="20"/>
          <w:szCs w:val="20"/>
        </w:rPr>
        <w:t xml:space="preserve">Fase 1 — MVP (0–3 meses)</w:t>
      </w:r>
    </w:p>
    <w:p>
      <w:pPr>
        <w:pStyle w:val="ListParagraph"/>
        <w:numPr>
          <w:ilvl w:val="0"/>
          <w:numId w:val="2"/>
        </w:numPr>
        <w:spacing w:after="80"/>
      </w:pPr>
      <w:r>
        <w:rPr>
          <w:b w:val="false"/>
          <w:bCs w:val="false"/>
          <w:color w:val="000000"/>
          <w:sz w:val="20"/>
          <w:szCs w:val="20"/>
        </w:rPr>
        <w:t xml:space="preserve">Cadastro, login e perfis de cliente, lojista e administrador (RF01–RF07)</w:t>
      </w:r>
    </w:p>
    <w:p>
      <w:pPr>
        <w:pStyle w:val="ListParagraph"/>
        <w:numPr>
          <w:ilvl w:val="0"/>
          <w:numId w:val="2"/>
        </w:numPr>
        <w:spacing w:after="80"/>
      </w:pPr>
      <w:r>
        <w:rPr>
          <w:b w:val="false"/>
          <w:bCs w:val="false"/>
          <w:color w:val="000000"/>
          <w:sz w:val="20"/>
          <w:szCs w:val="20"/>
        </w:rPr>
        <w:t xml:space="preserve">Anúncio, vitrine da loja e busca de peças, já com suporte a lojas de ateliê e artesanato (RF08–RF12, RF56–RF57)</w:t>
      </w:r>
    </w:p>
    <w:p>
      <w:pPr>
        <w:pStyle w:val="ListParagraph"/>
        <w:numPr>
          <w:ilvl w:val="0"/>
          <w:numId w:val="2"/>
        </w:numPr>
        <w:spacing w:after="80"/>
      </w:pPr>
      <w:r>
        <w:rPr>
          <w:b w:val="false"/>
          <w:bCs w:val="false"/>
          <w:color w:val="000000"/>
          <w:sz w:val="20"/>
          <w:szCs w:val="20"/>
        </w:rPr>
        <w:t xml:space="preserve">Compra com Mercado Pago e escrow (RF16–RF19)</w:t>
      </w:r>
    </w:p>
    <w:p>
      <w:pPr>
        <w:pStyle w:val="ListParagraph"/>
        <w:numPr>
          <w:ilvl w:val="0"/>
          <w:numId w:val="2"/>
        </w:numPr>
        <w:spacing w:after="80"/>
      </w:pPr>
      <w:r>
        <w:rPr>
          <w:b w:val="false"/>
          <w:bCs w:val="false"/>
          <w:color w:val="000000"/>
          <w:sz w:val="20"/>
          <w:szCs w:val="20"/>
        </w:rPr>
        <w:t xml:space="preserve">Chat entre usuários (RF54)</w:t>
      </w:r>
    </w:p>
    <w:p>
      <w:pPr>
        <w:pStyle w:val="ListParagraph"/>
        <w:numPr>
          <w:ilvl w:val="0"/>
          <w:numId w:val="2"/>
        </w:numPr>
        <w:spacing w:after="80"/>
      </w:pPr>
      <w:r>
        <w:rPr>
          <w:b w:val="false"/>
          <w:bCs w:val="false"/>
          <w:color w:val="000000"/>
          <w:sz w:val="20"/>
          <w:szCs w:val="20"/>
        </w:rPr>
        <w:t xml:space="preserve">HTTPS, segurança básica e LGPD (RNF06–RNF17)</w:t>
      </w:r>
    </w:p>
    <w:p>
      <w:pPr>
        <w:spacing w:after="120"/>
      </w:pPr>
      <w:r>
        <w:rPr>
          <w:b/>
          <w:bCs/>
          <w:sz w:val="20"/>
          <w:szCs w:val="20"/>
        </w:rPr>
        <w:t xml:space="preserve">Fase 2 — Crescimento (3–6 meses)</w:t>
      </w:r>
    </w:p>
    <w:p>
      <w:pPr>
        <w:pStyle w:val="ListParagraph"/>
        <w:numPr>
          <w:ilvl w:val="0"/>
          <w:numId w:val="2"/>
        </w:numPr>
        <w:spacing w:after="80"/>
      </w:pPr>
      <w:r>
        <w:rPr>
          <w:b w:val="false"/>
          <w:bCs w:val="false"/>
          <w:color w:val="000000"/>
          <w:sz w:val="20"/>
          <w:szCs w:val="20"/>
        </w:rPr>
        <w:t xml:space="preserve">Sistema de trocas completo (RF24–RF28)</w:t>
      </w:r>
    </w:p>
    <w:p>
      <w:pPr>
        <w:pStyle w:val="ListParagraph"/>
        <w:numPr>
          <w:ilvl w:val="0"/>
          <w:numId w:val="2"/>
        </w:numPr>
        <w:spacing w:after="80"/>
      </w:pPr>
      <w:r>
        <w:rPr>
          <w:b w:val="false"/>
          <w:bCs w:val="false"/>
          <w:color w:val="000000"/>
          <w:sz w:val="20"/>
          <w:szCs w:val="20"/>
        </w:rPr>
        <w:t xml:space="preserve">Cupons de desconto (RF29–RF32)</w:t>
      </w:r>
    </w:p>
    <w:p>
      <w:pPr>
        <w:pStyle w:val="ListParagraph"/>
        <w:numPr>
          <w:ilvl w:val="0"/>
          <w:numId w:val="2"/>
        </w:numPr>
        <w:spacing w:after="80"/>
      </w:pPr>
      <w:r>
        <w:rPr>
          <w:b w:val="false"/>
          <w:bCs w:val="false"/>
          <w:color w:val="000000"/>
          <w:sz w:val="20"/>
          <w:szCs w:val="20"/>
        </w:rPr>
        <w:t xml:space="preserve">Notificações push e e-mail (RF52–RF53)</w:t>
      </w:r>
    </w:p>
    <w:p>
      <w:pPr>
        <w:pStyle w:val="ListParagraph"/>
        <w:numPr>
          <w:ilvl w:val="0"/>
          <w:numId w:val="2"/>
        </w:numPr>
        <w:spacing w:after="80"/>
      </w:pPr>
      <w:r>
        <w:rPr>
          <w:b w:val="false"/>
          <w:bCs w:val="false"/>
          <w:color w:val="000000"/>
          <w:sz w:val="20"/>
          <w:szCs w:val="20"/>
        </w:rPr>
        <w:t xml:space="preserve">App mobile responsivo e PWA (RNF18, RNF22)</w:t>
      </w:r>
    </w:p>
    <w:p>
      <w:pPr>
        <w:pStyle w:val="ListParagraph"/>
        <w:numPr>
          <w:ilvl w:val="0"/>
          <w:numId w:val="2"/>
        </w:numPr>
        <w:spacing w:after="80"/>
      </w:pPr>
      <w:r>
        <w:rPr>
          <w:b w:val="false"/>
          <w:bCs w:val="false"/>
          <w:color w:val="000000"/>
          <w:sz w:val="20"/>
          <w:szCs w:val="20"/>
        </w:rPr>
        <w:t xml:space="preserve">Painel administrativo com aprovação de lojas e comissões (RF48–RF50)</w:t>
      </w:r>
    </w:p>
    <w:p>
      <w:pPr>
        <w:pStyle w:val="ListParagraph"/>
        <w:numPr>
          <w:ilvl w:val="0"/>
          <w:numId w:val="2"/>
        </w:numPr>
        <w:shd w:fill="FFF2CC" w:val="clear"/>
        <w:spacing w:after="80"/>
      </w:pPr>
      <w:r>
        <w:rPr>
          <w:b/>
          <w:bCs/>
          <w:color w:val="7F5A00"/>
          <w:sz w:val="20"/>
          <w:szCs w:val="20"/>
        </w:rPr>
        <w:t xml:space="preserve">Cadastro e aprovação de parceiros institucionais (RF61–RF62)</w:t>
      </w:r>
    </w:p>
    <w:p>
      <w:pPr>
        <w:pStyle w:val="ListParagraph"/>
        <w:numPr>
          <w:ilvl w:val="0"/>
          <w:numId w:val="2"/>
        </w:numPr>
        <w:shd w:fill="FFF2CC" w:val="clear"/>
        <w:spacing w:after="80"/>
      </w:pPr>
      <w:r>
        <w:rPr>
          <w:b/>
          <w:bCs/>
          <w:color w:val="7F5A00"/>
          <w:sz w:val="20"/>
          <w:szCs w:val="20"/>
        </w:rPr>
        <w:t xml:space="preserve">Ouvidoria: abertura, atendimento e decisão de chamados (RF65–RF67)</w:t>
      </w:r>
    </w:p>
    <w:p>
      <w:pPr>
        <w:spacing w:after="120"/>
      </w:pPr>
      <w:r>
        <w:rPr>
          <w:b/>
          <w:bCs/>
          <w:sz w:val="20"/>
          <w:szCs w:val="20"/>
        </w:rPr>
        <w:t xml:space="preserve">Fase 3 — Serviços e Gestão de Loja (6–12 meses)</w:t>
      </w:r>
    </w:p>
    <w:p>
      <w:pPr>
        <w:pStyle w:val="ListParagraph"/>
        <w:numPr>
          <w:ilvl w:val="0"/>
          <w:numId w:val="2"/>
        </w:numPr>
        <w:spacing w:after="80"/>
      </w:pPr>
      <w:r>
        <w:rPr>
          <w:b w:val="false"/>
          <w:bCs w:val="false"/>
          <w:color w:val="000000"/>
          <w:sz w:val="20"/>
          <w:szCs w:val="20"/>
        </w:rPr>
        <w:t xml:space="preserve">Marketplace de serviços profissionais autônomos, com pagamento em 50%+50% (RF33–RF40)</w:t>
      </w:r>
    </w:p>
    <w:p>
      <w:pPr>
        <w:pStyle w:val="ListParagraph"/>
        <w:numPr>
          <w:ilvl w:val="0"/>
          <w:numId w:val="2"/>
        </w:numPr>
        <w:spacing w:after="80"/>
      </w:pPr>
      <w:r>
        <w:rPr>
          <w:b w:val="false"/>
          <w:bCs w:val="false"/>
          <w:color w:val="000000"/>
          <w:sz w:val="20"/>
          <w:szCs w:val="20"/>
        </w:rPr>
        <w:t xml:space="preserve">Gestão de loja: estoque, caixa/PDV e financeiro, com taxa de 15% (RF41–RF47)</w:t>
      </w:r>
    </w:p>
    <w:p>
      <w:pPr>
        <w:pStyle w:val="ListParagraph"/>
        <w:numPr>
          <w:ilvl w:val="0"/>
          <w:numId w:val="2"/>
        </w:numPr>
        <w:spacing w:after="80"/>
      </w:pPr>
      <w:r>
        <w:rPr>
          <w:b w:val="false"/>
          <w:bCs w:val="false"/>
          <w:color w:val="000000"/>
          <w:sz w:val="20"/>
          <w:szCs w:val="20"/>
        </w:rPr>
        <w:t xml:space="preserve">Encomendas personalizadas com produção sob demanda e pagamento em sinal (RF58–RF59)</w:t>
      </w:r>
    </w:p>
    <w:p>
      <w:pPr>
        <w:pStyle w:val="ListParagraph"/>
        <w:numPr>
          <w:ilvl w:val="0"/>
          <w:numId w:val="2"/>
        </w:numPr>
        <w:shd w:fill="FFF2CC" w:val="clear"/>
        <w:spacing w:after="80"/>
      </w:pPr>
      <w:r>
        <w:rPr>
          <w:b/>
          <w:bCs/>
          <w:color w:val="7F5A00"/>
          <w:sz w:val="20"/>
          <w:szCs w:val="20"/>
        </w:rPr>
        <w:t xml:space="preserve">Venda de cursos de artesanato (RF60)</w:t>
      </w:r>
    </w:p>
    <w:p>
      <w:pPr>
        <w:pStyle w:val="ListParagraph"/>
        <w:numPr>
          <w:ilvl w:val="0"/>
          <w:numId w:val="2"/>
        </w:numPr>
        <w:shd w:fill="FFF2CC" w:val="clear"/>
        <w:spacing w:after="80"/>
      </w:pPr>
      <w:r>
        <w:rPr>
          <w:b/>
          <w:bCs/>
          <w:color w:val="7F5A00"/>
          <w:sz w:val="20"/>
          <w:szCs w:val="20"/>
        </w:rPr>
        <w:t xml:space="preserve">Repasse de comissão a parceiros institucionais e serviço de entrega próprio (RF63–RF64)</w:t>
      </w:r>
    </w:p>
    <w:p>
      <w:pPr>
        <w:pStyle w:val="ListParagraph"/>
        <w:numPr>
          <w:ilvl w:val="0"/>
          <w:numId w:val="2"/>
        </w:numPr>
        <w:shd w:fill="FFF2CC" w:val="clear"/>
        <w:spacing w:after="80"/>
      </w:pPr>
      <w:r>
        <w:rPr>
          <w:b/>
          <w:bCs/>
          <w:color w:val="7F5A00"/>
          <w:sz w:val="20"/>
          <w:szCs w:val="20"/>
        </w:rPr>
        <w:t xml:space="preserve">Reincidência, penalidades e painel de reputação consolidado (RF68–RF69)</w:t>
      </w:r>
    </w:p>
    <w:p>
      <w:pPr>
        <w:pStyle w:val="ListParagraph"/>
        <w:numPr>
          <w:ilvl w:val="0"/>
          <w:numId w:val="2"/>
        </w:numPr>
        <w:spacing w:after="80"/>
      </w:pPr>
      <w:r>
        <w:rPr>
          <w:b w:val="false"/>
          <w:bCs w:val="false"/>
          <w:color w:val="000000"/>
          <w:sz w:val="20"/>
          <w:szCs w:val="20"/>
        </w:rPr>
        <w:t xml:space="preserve">Relatórios gerenciais e conciliação financeira (RF51, RF47)</w:t>
      </w:r>
    </w:p>
    <w:p>
      <w:pPr>
        <w:pStyle w:val="ListParagraph"/>
        <w:numPr>
          <w:ilvl w:val="0"/>
          <w:numId w:val="2"/>
        </w:numPr>
        <w:spacing w:after="80"/>
      </w:pPr>
      <w:r>
        <w:rPr>
          <w:b w:val="false"/>
          <w:bCs w:val="false"/>
          <w:color w:val="000000"/>
          <w:sz w:val="20"/>
          <w:szCs w:val="20"/>
        </w:rPr>
        <w:t xml:space="preserve">Monitoramento, CI/CD e arquitetura multi-loja (RNF28–RNF31)</w:t>
      </w:r>
    </w:p>
    <w:p>
      <w:pPr>
        <w:spacing w:after="300" w:before="300"/>
      </w:pPr>
    </w:p>
    <w:p>
      <w:pPr>
        <w:pBdr>
          <w:top w:val="single" w:color="BFBFBF" w:sz="4"/>
        </w:pBdr>
        <w:spacing w:before="200"/>
        <w:jc w:val="center"/>
      </w:pPr>
      <w:r>
        <w:rPr>
          <w:color w:val="808080"/>
          <w:sz w:val="18"/>
          <w:szCs w:val="18"/>
        </w:rPr>
        <w:t xml:space="preserve">Documento gerado para o projeto Garimpo — Versão 1.1 — 2026</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72"/>
      </w:tabs>
    </w:pPr>
    <w:r>
      <w:rPr>
        <w:color w:val="808080"/>
        <w:sz w:val="16"/>
        <w:szCs w:val="16"/>
      </w:rPr>
      <w:t xml:space="preserve">Confidencial | Versão 1.1</w:t>
    </w:r>
    <w:r>
      <w:rPr>
        <w:color w:val="808080"/>
        <w:sz w:val="16"/>
        <w:szCs w:val="16"/>
      </w:rPr>
      <w:t xml:space="preserve">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Garimpo — Documento de Requisitos do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2026-08-24T22:17:49.236Z</dcterms:created>
  <dcterms:modified xsi:type="dcterms:W3CDTF">2026-08-24T22:17:49.249Z</dcterms:modified>
</cp:coreProperties>
</file>

<file path=docProps/custom.xml><?xml version="1.0" encoding="utf-8"?>
<Properties xmlns="http://schemas.openxmlformats.org/officeDocument/2006/custom-properties" xmlns:vt="http://schemas.openxmlformats.org/officeDocument/2006/docPropsVTypes"/>
</file>