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600"/>
        <w:gridCol w:w="44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center"/>
          </w:tcPr>
          <w:p>
            <w:r>
              <w:drawing>
                <wp:inline distT="0" distB="0" distL="0" distR="0">
                  <wp:extent cx="1152525" cy="666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>
              <w:top w:val="none" w:color="FFFFFF" w:sz="0"/>
              <w:left w:val="single" w:color="E3E5E8" w:sz="8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1019175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2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Proposta nº 002/2026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6"/>
                <w:szCs w:val="16"/>
              </w:rPr>
              <w:t xml:space="preserve">Contabilidade + Advocacia em parceria</w:t>
            </w:r>
          </w:p>
        </w:tc>
      </w:tr>
    </w:tbl>
    <w:p>
      <w:pPr>
        <w:keepNext w:val="false"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AF58" w:sz="48"/>
              <w:bottom w:val="none" w:color="FFFFFF" w:sz="0"/>
              <w:right w:val="none" w:color="FFFFFF" w:sz="0"/>
            </w:tcBorders>
            <w:shd w:fill="1A1A1A" w:color="auto" w:val="clear"/>
            <w:tcMar>
              <w:top w:type="dxa" w:w="300"/>
              <w:left w:type="dxa" w:w="4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AF58"/>
                <w:spacing w:val="40"/>
                <w:sz w:val="15"/>
                <w:szCs w:val="15"/>
              </w:rPr>
              <w:t xml:space="preserve">PROPOSTA COMERCIAL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Acompanhamento Mensal</w:t>
            </w:r>
          </w:p>
          <w:p>
            <w:r>
              <w:rPr>
                <w:rFonts w:ascii="Calibri" w:cs="Calibri" w:eastAsia="Calibri" w:hAnsi="Calibri"/>
                <w:color w:val="C9CBCF"/>
                <w:sz w:val="20"/>
                <w:szCs w:val="20"/>
              </w:rPr>
              <w:t xml:space="preserve">Contabilidade, Departamento Pessoal e Assessoria Jurídica Trabalhista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3E5E8" w:sz="6"/>
              <w:right w:val="single" w:color="E3E5E8" w:sz="6"/>
            </w:tcBorders>
            <w:tcMar>
              <w:top w:type="dxa" w:w="140"/>
              <w:left w:type="dxa" w:w="0"/>
              <w:bottom w:type="dxa" w:w="140"/>
              <w:right w:type="dxa" w:w="1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B6B70"/>
                <w:spacing w:val="30"/>
                <w:sz w:val="14"/>
                <w:szCs w:val="14"/>
              </w:rPr>
              <w:t xml:space="preserve">CLIENTE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MARMA LTDA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CNPJ 67.699.385/0001-06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3E5E8" w:sz="6"/>
              <w:right w:val="single" w:color="E3E5E8" w:sz="6"/>
            </w:tcBorders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B6B70"/>
                <w:spacing w:val="30"/>
                <w:sz w:val="14"/>
                <w:szCs w:val="14"/>
              </w:rPr>
              <w:t xml:space="preserve">DATA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20/10/2026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Santa Cruz do Capibaribe/PE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B6B70"/>
                <w:spacing w:val="30"/>
                <w:sz w:val="14"/>
                <w:szCs w:val="14"/>
              </w:rPr>
              <w:t xml:space="preserve">VALIDADE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15 dias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Vigência: prazo indeterminado</w:t>
            </w:r>
          </w:p>
        </w:tc>
      </w:tr>
    </w:tbl>
    <w:p>
      <w:pPr>
        <w:keepNext w:val="false"/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AF58" w:sz="24"/>
              <w:bottom w:val="none" w:color="FFFFFF" w:sz="0"/>
              <w:right w:val="none" w:color="FFFFFF" w:sz="0"/>
            </w:tcBorders>
            <w:shd w:fill="F5F6F7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Versão válida.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 Esta Proposta nº 002/2026 é a versão oficial. A versão em espanhol é apresentada apenas para facilitar o entendimento; qualquer dúvida será esclarecida pela versão em português.</w:t>
            </w:r>
          </w:p>
        </w:tc>
      </w:tr>
    </w:tbl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Objetivo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Depois do planejamento, a MARMA precisa de acompanhamento contínuo. A empresa vai crescer o quadro de empregados por etapas e deve manter a folha, os impostos e as rotinas trabalhistas em dia, com orientação jurídica preventiva para não criar passivo. 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Metabase Contabilidade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 e a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Arnessen Cintra Advocacia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 fazem esse acompanhamento de forma integrada.</w:t>
      </w:r>
    </w:p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Serviços incluídos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19"/>
        <w:gridCol w:w="200"/>
        <w:gridCol w:w="4719"/>
      </w:tblGrid>
      <w:tr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CONTABILIDADE E FISCAL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Empresa em dia com o fisco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008A45"/>
                <w:sz w:val="14"/>
                <w:szCs w:val="14"/>
                <w:shd w:fill="E8F7EF" w:color="auto" w:val="clear"/>
              </w:rPr>
              <w:t xml:space="preserve">  METABASE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Apuração do Simples Nacional (PGDAS-D – Anexo II) e emissão do DAS. Controle do faturamento e dos limites do Simples.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Obrigações junto à SEFAZ-PE e acompanhamento de regimes especiais de ICMS do setor de confecções.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DEFIS e informe de rendimentos.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Distribuição de lucros, pró-labore e orientação tributária.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Certidões negativas e regularidade fiscal.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DEPARTAMENTO PESSOAL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Folha correta todo mês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008A45"/>
                <w:sz w:val="14"/>
                <w:szCs w:val="14"/>
                <w:shd w:fill="E8F7EF" w:color="auto" w:val="clear"/>
              </w:rPr>
              <w:t xml:space="preserve">  METABASE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Folha mensal com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cálculo da produção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, garantia do piso, DSR e horas extras conforme o modelo do planejamento.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Admissões, experiências, férias, 13º, afastamentos e rescisões.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eSocial (incluindo SST), FGTS Digital, DCTFWeb e guias.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Conferência do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espelho de ponto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 e do banco de horas, com alertas sobre jornada e horas extras.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Controle de vencimentos de férias, experiências e exames periódicos.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Obrigações anuais e informe de rendimentos dos empregados.</w:t>
            </w:r>
          </w:p>
        </w:tc>
      </w:tr>
      <w:tr>
        <w:tc>
          <w:tcPr>
            <w:tcW w:type="dxa" w:w="9638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9638"/>
            <w:gridSpan w:val="3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ASSESSORIA JURÍDICA TRABALHISTA PREVENTIVA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Prevenção antes do problema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C3A3D"/>
                <w:sz w:val="14"/>
                <w:szCs w:val="14"/>
                <w:shd w:fill="ECECEE" w:color="auto" w:val="clear"/>
              </w:rPr>
              <w:t xml:space="preserve">  ARNESSEN CINTRA ADVOCACIA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Consultoria preventiva ilimitada por WhatsApp, e-mail ou reunião: contratações, jornada, produção, advertências, suspensões e demissões.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Revisão e atualização dos contratos, acordos de compensação/banco de horas, regulamento interno e termos individuais.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Regulamento Interno da Empresa: criação do código de conduta interno, com regras de vestimenta, uso de EPIs, pontualidade e penalidades (advertências e suspensões).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 reunião trimestral de revisão de riscos, junto com a contabilidade.</w:t>
            </w:r>
          </w:p>
        </w:tc>
      </w:tr>
      <w:tr>
        <w:tc>
          <w:tcPr>
            <w:tcW w:type="dxa" w:w="9638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9638"/>
            <w:gridSpan w:val="3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ASSESSORIA JURÍDICA TRABALHISTA AD JUDICIA ET EXTRA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Defesa da empresa dentro e fora do Judiciário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C3A3D"/>
                <w:sz w:val="14"/>
                <w:szCs w:val="14"/>
                <w:shd w:fill="ECECEE" w:color="auto" w:val="clear"/>
              </w:rPr>
              <w:t xml:space="preserve">  ARNESSEN CINTRA ADVOCACIA  </w:t>
            </w:r>
          </w:p>
          <w:p>
            <w:pPr>
              <w:spacing w:after="60" w:before="8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a) Advocacia Trabalhista Extrajudicial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Atendimento a fiscalizações do Ministério do Trabalho e defesa administrativa de autos de infração.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Relacionamento com o sindicato e análise anual da nova Convenção Coletiva.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Homologação de acordo extrajudicial.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Mediação no Ministério Público do Trabalho: atuação em inquéritos civis ou mediações perante o MPT para assinatura de TACs.</w:t>
            </w:r>
          </w:p>
          <w:p>
            <w:pPr>
              <w:spacing w:after="60" w:before="8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b) Advocacia Trabalhista Judicial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Elaboração de defesas estratégicas (contestações).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Propositura de reconvenção: quando o ex-funcionário causou prejuízos materiais ou financeiros à empresa, cobrança desses valores no próprio processo.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Gestão de provas e instrução processual; preparação de testemunhas e prepostos.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Acompanhamento em audiências iniciais, de conciliação e de instrução (presenciais ou virtuais).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Acompanhamento de perícias judiciais; impugnação e auditoria de cálculos judiciais.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Relatórios de contingência trabalhista: status de cada processo e risco de perda (provável, possível ou remota), para apoiar o provisionamento financeiro.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Auditoria de acordos em andamento: controle e emissão de guias dos acordos parcelados, evitando multas por atraso.</w:t>
            </w:r>
          </w:p>
        </w:tc>
      </w:tr>
      <w:tr>
        <w:tc>
          <w:tcPr>
            <w:tcW w:type="dxa" w:w="9638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/>
            </w:pPr>
          </w:p>
        </w:tc>
      </w:tr>
    </w:tbl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Investimento mensal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19"/>
        <w:gridCol w:w="200"/>
        <w:gridCol w:w="4719"/>
      </w:tblGrid>
      <w:t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color="auto" w:val="clear"/>
            <w:tcMar>
              <w:top w:type="dxa" w:w="240"/>
              <w:left w:type="dxa" w:w="280"/>
              <w:bottom w:type="dxa" w:w="2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AF58"/>
                <w:spacing w:val="30"/>
                <w:sz w:val="15"/>
                <w:szCs w:val="15"/>
              </w:rPr>
              <w:t xml:space="preserve">FASE INICIAL · ATÉ 10 EMPREGADOS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0AF58"/>
                <w:sz w:val="34"/>
                <w:szCs w:val="34"/>
              </w:rPr>
              <w:t xml:space="preserve">2,5 salários mínimos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C9CBCF"/>
                <w:sz w:val="17"/>
                <w:szCs w:val="17"/>
              </w:rPr>
              <w:t xml:space="preserve">R$ 4.052,50 por mês em 2026, com contabilidade, fiscal, DP e jurídico (preventivo, extrajudicial e judicial) incluídos.</w:t>
            </w:r>
          </w:p>
          <w:p>
            <w:r>
              <w:rPr>
                <w:rFonts w:ascii="Calibri" w:cs="Calibri" w:eastAsia="Calibri" w:hAnsi="Calibri"/>
                <w:color w:val="E6E6E6"/>
                <w:sz w:val="16"/>
                <w:szCs w:val="16"/>
                <w:shd w:fill="2C2C2E" w:color="auto" w:val="clear"/>
              </w:rPr>
              <w:t xml:space="preserve">  Metabase: R$ 1.215,75  </w:t>
            </w:r>
            <w:r>
              <w:rPr>
                <w:sz w:val="16"/>
                <w:szCs w:val="16"/>
              </w:rPr>
              <w:t xml:space="preserve">   </w:t>
            </w:r>
            <w:r>
              <w:rPr>
                <w:rFonts w:ascii="Calibri" w:cs="Calibri" w:eastAsia="Calibri" w:hAnsi="Calibri"/>
                <w:color w:val="E6E6E6"/>
                <w:sz w:val="16"/>
                <w:szCs w:val="16"/>
                <w:shd w:fill="2C2C2E" w:color="auto" w:val="clear"/>
              </w:rPr>
              <w:t xml:space="preserve">  Arnessen Cintra Advocacia: R$ 2.836,75  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240"/>
              <w:left w:type="dxa" w:w="280"/>
              <w:bottom w:type="dxa" w:w="2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6B6B70"/>
                <w:spacing w:val="30"/>
                <w:sz w:val="15"/>
                <w:szCs w:val="15"/>
              </w:rPr>
              <w:t xml:space="preserve">CRESCIMENTO DO QUADRO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30"/>
                <w:szCs w:val="30"/>
              </w:rPr>
              <w:t xml:space="preserve">Reajuste negociado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O valor de 2,5 salários mínimos vale para até 10 empregados registrados. Se o quadro passar disso, o honorário terá reajuste negociado em comum acordo, proporcional ao volume de serviço.</w:t>
            </w:r>
          </w:p>
        </w:tc>
      </w:tr>
    </w:tbl>
    <w:p>
      <w:pPr>
        <w:keepNext w:val="false"/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38"/>
        <w:gridCol w:w="3000"/>
        <w:gridCol w:w="2000"/>
      </w:tblGrid>
      <w:tr>
        <w:trPr>
          <w:cantSplit/>
          <w:tblHeader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Serviço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Valor mensal (R$)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Contabilidade, Fiscal e Departamento Pessoal (¾ de salário mínimo)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Metabase Contabilidade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1.215,75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Assessoria Jurídica Trabalhista Preventiva (¾ de salário mínimo)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Arnessen Cintra Advocacia – OAB/PE 70.236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1.215,75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Assessoria Jurídica Trabalhista Ad Judicia et Extra (1 salário mínimo)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Arnessen Cintra Advocacia – OAB/PE 70.236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1.621,00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E8F7EF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Total mensal (2,5 salários mínimos)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E8F7EF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E8F7EF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4.052,50</w:t>
            </w:r>
          </w:p>
        </w:tc>
      </w:tr>
    </w:tbl>
    <w:p>
      <w:pPr>
        <w:spacing w:after="120" w:before="200" w:line="276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Condições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Vencimento: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dia 05 do mês subsequente ao da prestação do serviço.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13ª parcela: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em dezembro, parcela adicional da parte contábil (R$ 1.215,75), para o 13º salário e a DEFIS.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Taxa de implantação: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R$ 40,00 por admissão no lançamento inicial. Isenta se o planejamento (Proposta nº 001/2026) também for contratado.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Reuniões: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reuniões online sem limite. Uma reunião presencial por mês, quando solicitada; a partir da segunda reunião presencial no mês, é cobrado o custo de deslocamento.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Reajuste: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anual e automático, acompanhando o salário mínimo nacional, independente de eventual renegociação por volume.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/>
      </w: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Vigência: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 prazo indeterminado, com 30 dias de aviso prévio para encerramento por qualquer das partes.</w:t>
      </w:r>
    </w:p>
    <w:p>
      <w:pPr>
        <w:keepNext w:val="false"/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DF6E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Não incluídos (orçados à parte):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 balanço patrimonial, balancetes e DRE, elaborados sob demanda com custo adicional; recuperação de períodos anteriores à contratação; regularização de pendências fiscais antigas; e custos de terceiros, como médico do trabalho, PGR/PCMSO, sistema de ponto, certificado digital, taxas e emolumentos.</w:t>
            </w:r>
          </w:p>
        </w:tc>
      </w:tr>
    </w:tbl>
    <w:p>
      <w:pPr>
        <w:keepNext w:val="false"/>
        <w:spacing w:after="60"/>
      </w:pP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6B6B70"/>
          <w:sz w:val="16"/>
          <w:szCs w:val="16"/>
        </w:rPr>
        <w:t xml:space="preserve">Cada profissional emite seu próprio contrato e documento fiscal pela sua parte. A divisão segue as regras do CFC, para a contabilidade, e do Estatuto da Advocacia e Código de Ética da OAB, para a advocacia. A proposta é apresentada em conjunto para facilitar a gestão da contratante.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E3E5E8" w:sz="8"/>
              </w:pBdr>
              <w:spacing w:after="160" w:before="3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00AF58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6"/>
                <w:szCs w:val="26"/>
              </w:rPr>
              <w:t xml:space="preserve">  Responsabilidades da contratante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Enviar até o dia 25 de cada mês as informações para a folha: produção por empregado, ponto, faltas, admissões e desligamentos.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Enviar as notas fiscais do mês até o dia 5 do mês seguinte.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Consultar a assessoria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antes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 de admitir, demitir ou mudar jornada e forma de pagamento.</w:t>
            </w:r>
          </w:p>
          <w:p>
            <w:pPr>
              <w:keepNext w:val="false"/>
              <w:spacing w:after="60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012"/>
              <w:gridCol w:w="300"/>
              <w:gridCol w:w="3012"/>
              <w:gridCol w:w="300"/>
              <w:gridCol w:w="3012"/>
            </w:tblGrid>
            <w:tr>
              <w:trPr>
                <w:cantSplit/>
              </w:trPr>
              <w:tc>
                <w:tcPr>
                  <w:tcW w:type="dxa" w:w="3012"/>
                  <w:tcBorders>
                    <w:top w:val="single" w:color="1A1A1A" w:sz="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MARMA LTDA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Contratante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0"/>
                    <w:left w:type="dxa" w:w="200"/>
                    <w:bottom w:type="dxa" w:w="140"/>
                    <w:right w:type="dxa" w:w="20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12"/>
                  <w:tcBorders>
                    <w:top w:val="single" w:color="1A1A1A" w:sz="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Estêvão Fernandes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Contador · CRC/PE 027627/O6 · Metabase Contabilidade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0"/>
                    <w:left w:type="dxa" w:w="200"/>
                    <w:bottom w:type="dxa" w:w="140"/>
                    <w:right w:type="dxa" w:w="20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12"/>
                  <w:tcBorders>
                    <w:top w:val="single" w:color="1A1A1A" w:sz="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Arnessen Cintra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Advogado · OAB/PE 70.236 · Arnessen Cintra Advocacia</w:t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1000" w:right="1134" w:bottom="1000" w:left="1134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5E8" w:sz="6"/>
      </w:pBdr>
      <w:spacing w:before="100"/>
      <w:jc w:val="center"/>
    </w:pPr>
    <w:r>
      <w:rPr>
        <w:rFonts w:ascii="Calibri" w:cs="Calibri" w:eastAsia="Calibri" w:hAnsi="Calibri"/>
        <w:b/>
        <w:bCs/>
        <w:color w:val="008A45"/>
        <w:sz w:val="15"/>
        <w:szCs w:val="15"/>
      </w:rPr>
      <w:t xml:space="preserve">Metabase Contabilidade</w:t>
    </w:r>
    <w:r>
      <w:rPr>
        <w:rFonts w:ascii="Calibri" w:cs="Calibri" w:eastAsia="Calibri" w:hAnsi="Calibri"/>
        <w:color w:val="6B6B70"/>
        <w:sz w:val="15"/>
        <w:szCs w:val="15"/>
      </w:rPr>
      <w:t xml:space="preserve"> · desde 2015     |     </w:t>
    </w:r>
    <w:r>
      <w:rPr>
        <w:rFonts w:ascii="Calibri" w:cs="Calibri" w:eastAsia="Calibri" w:hAnsi="Calibri"/>
        <w:b/>
        <w:bCs/>
        <w:color w:val="3C3A3D"/>
        <w:sz w:val="15"/>
        <w:szCs w:val="15"/>
      </w:rPr>
      <w:t xml:space="preserve">Arnessen Cintra Advocacia</w:t>
    </w:r>
    <w:r>
      <w:rPr>
        <w:rFonts w:ascii="Calibri" w:cs="Calibri" w:eastAsia="Calibri" w:hAnsi="Calibri"/>
        <w:color w:val="6B6B70"/>
        <w:sz w:val="15"/>
        <w:szCs w:val="15"/>
      </w:rPr>
      <w:t xml:space="preserve"> · OAB/PE 70.236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  <w:rPr>
        <w:color w:val="00AF5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07e453caa5cd4c0c54cfa4683259d141f0d6b2d.png"/><Relationship Id="rId9" Type="http://schemas.openxmlformats.org/officeDocument/2006/relationships/image" Target="media/cae3941cb6bd611b305a314469edf5cda0a7ca6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Metabase Contabilidade</dc:creator>
  <cp:lastModifiedBy>Un-named</cp:lastModifiedBy>
  <cp:revision>1</cp:revision>
  <dcterms:created xsi:type="dcterms:W3CDTF">2026-10-20T13:40:34.122Z</dcterms:created>
  <dcterms:modified xsi:type="dcterms:W3CDTF">2026-10-20T13:40:34.122Z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